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991802" w14:textId="06E0D070" w:rsidR="008D2342" w:rsidRPr="008F4D73" w:rsidRDefault="008D2342" w:rsidP="008D2342">
      <w:pPr>
        <w:spacing w:line="276" w:lineRule="auto"/>
        <w:jc w:val="both"/>
        <w:rPr>
          <w:rFonts w:ascii="Arial" w:hAnsi="Arial" w:cs="Arial"/>
        </w:rPr>
      </w:pPr>
    </w:p>
    <w:tbl>
      <w:tblPr>
        <w:tblW w:w="9782" w:type="dxa"/>
        <w:tblInd w:w="-441"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9782"/>
      </w:tblGrid>
      <w:tr w:rsidR="008D2342" w:rsidRPr="008F4D73" w14:paraId="3CD64F30" w14:textId="77777777" w:rsidTr="00D61AD3">
        <w:trPr>
          <w:trHeight w:val="6015"/>
        </w:trPr>
        <w:tc>
          <w:tcPr>
            <w:tcW w:w="9782" w:type="dxa"/>
            <w:tcBorders>
              <w:top w:val="double" w:sz="4" w:space="0" w:color="auto"/>
              <w:left w:val="double" w:sz="4" w:space="0" w:color="auto"/>
              <w:bottom w:val="single" w:sz="4" w:space="0" w:color="auto"/>
              <w:right w:val="double" w:sz="4" w:space="0" w:color="auto"/>
            </w:tcBorders>
          </w:tcPr>
          <w:tbl>
            <w:tblPr>
              <w:tblStyle w:val="Tablaconcuadrcula"/>
              <w:tblpPr w:leftFromText="141" w:rightFromText="141" w:vertAnchor="text" w:horzAnchor="margin" w:tblpY="-207"/>
              <w:tblOverlap w:val="never"/>
              <w:tblW w:w="9824" w:type="dxa"/>
              <w:tblLayout w:type="fixed"/>
              <w:tblLook w:val="04A0" w:firstRow="1" w:lastRow="0" w:firstColumn="1" w:lastColumn="0" w:noHBand="0" w:noVBand="1"/>
            </w:tblPr>
            <w:tblGrid>
              <w:gridCol w:w="9824"/>
            </w:tblGrid>
            <w:tr w:rsidR="008D2342" w:rsidRPr="008F4D73" w14:paraId="324BE275" w14:textId="77777777" w:rsidTr="008D2342">
              <w:trPr>
                <w:trHeight w:val="299"/>
              </w:trPr>
              <w:tc>
                <w:tcPr>
                  <w:tcW w:w="9824" w:type="dxa"/>
                  <w:shd w:val="clear" w:color="auto" w:fill="BFBFBF"/>
                </w:tcPr>
                <w:p w14:paraId="5D3AC2B1" w14:textId="77777777" w:rsidR="008D2342" w:rsidRPr="008F4D73" w:rsidRDefault="008D2342" w:rsidP="008D2342">
                  <w:pPr>
                    <w:tabs>
                      <w:tab w:val="left" w:pos="7513"/>
                    </w:tabs>
                    <w:spacing w:line="276" w:lineRule="auto"/>
                    <w:jc w:val="center"/>
                    <w:rPr>
                      <w:rFonts w:ascii="Arial" w:hAnsi="Arial" w:cs="Arial"/>
                      <w:b/>
                      <w:bCs/>
                    </w:rPr>
                  </w:pPr>
                  <w:r w:rsidRPr="008F4D73">
                    <w:rPr>
                      <w:rFonts w:ascii="Arial" w:hAnsi="Arial" w:cs="Arial"/>
                      <w:b/>
                      <w:bCs/>
                    </w:rPr>
                    <w:t>FICHA DE CONCILIACIÓN EXTRAJUDICIAL</w:t>
                  </w:r>
                </w:p>
              </w:tc>
            </w:tr>
          </w:tbl>
          <w:tbl>
            <w:tblPr>
              <w:tblStyle w:val="Tablaconcuadrcula"/>
              <w:tblpPr w:leftFromText="141" w:rightFromText="141" w:vertAnchor="text" w:horzAnchor="margin" w:tblpY="-239"/>
              <w:tblOverlap w:val="never"/>
              <w:tblW w:w="9823" w:type="dxa"/>
              <w:tblLayout w:type="fixed"/>
              <w:tblLook w:val="04A0" w:firstRow="1" w:lastRow="0" w:firstColumn="1" w:lastColumn="0" w:noHBand="0" w:noVBand="1"/>
            </w:tblPr>
            <w:tblGrid>
              <w:gridCol w:w="4911"/>
              <w:gridCol w:w="4912"/>
            </w:tblGrid>
            <w:tr w:rsidR="008D2342" w:rsidRPr="008F4D73" w14:paraId="4B43440C" w14:textId="77777777" w:rsidTr="0007336F">
              <w:trPr>
                <w:trHeight w:val="700"/>
              </w:trPr>
              <w:tc>
                <w:tcPr>
                  <w:tcW w:w="4911" w:type="dxa"/>
                </w:tcPr>
                <w:p w14:paraId="243B7A66" w14:textId="61AB7CF5" w:rsidR="008D2342" w:rsidRPr="008F4D73" w:rsidRDefault="008D2342" w:rsidP="008D2342">
                  <w:pPr>
                    <w:tabs>
                      <w:tab w:val="left" w:pos="7513"/>
                    </w:tabs>
                    <w:spacing w:line="276" w:lineRule="auto"/>
                    <w:jc w:val="both"/>
                    <w:rPr>
                      <w:rFonts w:ascii="Arial" w:hAnsi="Arial" w:cs="Arial"/>
                      <w:b/>
                      <w:bCs/>
                    </w:rPr>
                  </w:pPr>
                  <w:r w:rsidRPr="008F4D73">
                    <w:rPr>
                      <w:rFonts w:ascii="Arial" w:hAnsi="Arial" w:cs="Arial"/>
                      <w:b/>
                      <w:bCs/>
                    </w:rPr>
                    <w:t>ID de Ficha:</w:t>
                  </w:r>
                  <w:r w:rsidR="007A3DE3" w:rsidRPr="008F4D73">
                    <w:rPr>
                      <w:rFonts w:ascii="Arial" w:hAnsi="Arial" w:cs="Arial"/>
                      <w:b/>
                      <w:bCs/>
                    </w:rPr>
                    <w:t xml:space="preserve"> </w:t>
                  </w:r>
                  <w:r w:rsidR="00EC1CF7">
                    <w:rPr>
                      <w:rFonts w:ascii="Arial" w:hAnsi="Arial" w:cs="Arial"/>
                      <w:b/>
                      <w:bCs/>
                    </w:rPr>
                    <w:t xml:space="preserve">045 </w:t>
                  </w:r>
                  <w:bookmarkStart w:id="0" w:name="_GoBack"/>
                  <w:bookmarkEnd w:id="0"/>
                </w:p>
              </w:tc>
              <w:tc>
                <w:tcPr>
                  <w:tcW w:w="4912" w:type="dxa"/>
                </w:tcPr>
                <w:p w14:paraId="18D35101" w14:textId="77777777" w:rsidR="008D2342" w:rsidRPr="008F4D73" w:rsidRDefault="008D2342" w:rsidP="008D2342">
                  <w:pPr>
                    <w:tabs>
                      <w:tab w:val="left" w:pos="7513"/>
                    </w:tabs>
                    <w:spacing w:line="276" w:lineRule="auto"/>
                    <w:jc w:val="both"/>
                    <w:rPr>
                      <w:rFonts w:ascii="Arial" w:hAnsi="Arial" w:cs="Arial"/>
                      <w:b/>
                      <w:bCs/>
                    </w:rPr>
                  </w:pPr>
                  <w:r w:rsidRPr="008F4D73">
                    <w:rPr>
                      <w:rFonts w:ascii="Arial" w:hAnsi="Arial" w:cs="Arial"/>
                      <w:b/>
                      <w:bCs/>
                    </w:rPr>
                    <w:t>Responsable de la Ficha:</w:t>
                  </w:r>
                </w:p>
                <w:p w14:paraId="7DD764CF" w14:textId="692309A1" w:rsidR="008D2342" w:rsidRPr="008F4D73" w:rsidRDefault="002A4E67" w:rsidP="008D2342">
                  <w:pPr>
                    <w:tabs>
                      <w:tab w:val="left" w:pos="7513"/>
                    </w:tabs>
                    <w:spacing w:line="276" w:lineRule="auto"/>
                    <w:jc w:val="both"/>
                    <w:rPr>
                      <w:rFonts w:ascii="Arial" w:hAnsi="Arial" w:cs="Arial"/>
                      <w:b/>
                      <w:bCs/>
                    </w:rPr>
                  </w:pPr>
                  <w:r w:rsidRPr="008F4D73">
                    <w:rPr>
                      <w:rFonts w:ascii="Arial" w:hAnsi="Arial" w:cs="Arial"/>
                      <w:b/>
                      <w:bCs/>
                    </w:rPr>
                    <w:t>ADRIANA CAROLINA PALACIO MESA</w:t>
                  </w:r>
                </w:p>
              </w:tc>
            </w:tr>
          </w:tbl>
          <w:tbl>
            <w:tblPr>
              <w:tblStyle w:val="Tablaconcuadrcula"/>
              <w:tblpPr w:leftFromText="141" w:rightFromText="141" w:vertAnchor="text" w:horzAnchor="margin" w:tblpX="-10" w:tblpY="-209"/>
              <w:tblOverlap w:val="never"/>
              <w:tblW w:w="9909" w:type="dxa"/>
              <w:tblLayout w:type="fixed"/>
              <w:tblLook w:val="04A0" w:firstRow="1" w:lastRow="0" w:firstColumn="1" w:lastColumn="0" w:noHBand="0" w:noVBand="1"/>
            </w:tblPr>
            <w:tblGrid>
              <w:gridCol w:w="9909"/>
            </w:tblGrid>
            <w:tr w:rsidR="008D2342" w:rsidRPr="008F4D73" w14:paraId="1931A6A6" w14:textId="77777777" w:rsidTr="008D2342">
              <w:trPr>
                <w:trHeight w:val="384"/>
              </w:trPr>
              <w:tc>
                <w:tcPr>
                  <w:tcW w:w="9909" w:type="dxa"/>
                  <w:shd w:val="clear" w:color="auto" w:fill="BFBFBF"/>
                </w:tcPr>
                <w:p w14:paraId="6E965B18" w14:textId="77777777" w:rsidR="008D2342" w:rsidRPr="008F4D73" w:rsidRDefault="008D2342" w:rsidP="008D2342">
                  <w:pPr>
                    <w:tabs>
                      <w:tab w:val="left" w:pos="7513"/>
                    </w:tabs>
                    <w:spacing w:line="276" w:lineRule="auto"/>
                    <w:jc w:val="center"/>
                    <w:rPr>
                      <w:rFonts w:ascii="Arial" w:hAnsi="Arial" w:cs="Arial"/>
                      <w:b/>
                      <w:bCs/>
                    </w:rPr>
                  </w:pPr>
                  <w:r w:rsidRPr="008F4D73">
                    <w:rPr>
                      <w:rFonts w:ascii="Arial" w:hAnsi="Arial" w:cs="Arial"/>
                      <w:b/>
                      <w:bCs/>
                    </w:rPr>
                    <w:t>Datos de la solicitud</w:t>
                  </w:r>
                </w:p>
              </w:tc>
            </w:tr>
          </w:tbl>
          <w:tbl>
            <w:tblPr>
              <w:tblStyle w:val="Tablaconcuadrcula"/>
              <w:tblpPr w:leftFromText="141" w:rightFromText="141" w:vertAnchor="text" w:horzAnchor="margin" w:tblpY="-223"/>
              <w:tblOverlap w:val="never"/>
              <w:tblW w:w="9824" w:type="dxa"/>
              <w:tblLayout w:type="fixed"/>
              <w:tblLook w:val="04A0" w:firstRow="1" w:lastRow="0" w:firstColumn="1" w:lastColumn="0" w:noHBand="0" w:noVBand="1"/>
            </w:tblPr>
            <w:tblGrid>
              <w:gridCol w:w="3274"/>
              <w:gridCol w:w="3275"/>
              <w:gridCol w:w="3275"/>
            </w:tblGrid>
            <w:tr w:rsidR="008D2342" w:rsidRPr="008F4D73" w14:paraId="12A44DC5" w14:textId="77777777" w:rsidTr="0007336F">
              <w:trPr>
                <w:trHeight w:val="835"/>
              </w:trPr>
              <w:tc>
                <w:tcPr>
                  <w:tcW w:w="3274" w:type="dxa"/>
                </w:tcPr>
                <w:p w14:paraId="20D2FCC2" w14:textId="0DCAB2F7" w:rsidR="008D2342" w:rsidRPr="008F4D73" w:rsidRDefault="00964610" w:rsidP="008D2342">
                  <w:pPr>
                    <w:tabs>
                      <w:tab w:val="left" w:pos="7513"/>
                    </w:tabs>
                    <w:spacing w:line="276" w:lineRule="auto"/>
                    <w:jc w:val="center"/>
                    <w:rPr>
                      <w:rFonts w:ascii="Arial" w:hAnsi="Arial" w:cs="Arial"/>
                      <w:b/>
                      <w:bCs/>
                    </w:rPr>
                  </w:pPr>
                  <w:r w:rsidRPr="008F4D73">
                    <w:rPr>
                      <w:rFonts w:ascii="Arial" w:hAnsi="Arial" w:cs="Arial"/>
                      <w:b/>
                      <w:bCs/>
                    </w:rPr>
                    <w:t>No</w:t>
                  </w:r>
                  <w:r w:rsidR="008D2342" w:rsidRPr="008F4D73">
                    <w:rPr>
                      <w:rFonts w:ascii="Arial" w:hAnsi="Arial" w:cs="Arial"/>
                      <w:b/>
                      <w:bCs/>
                    </w:rPr>
                    <w:t>. DE LA SOLICITUD DE</w:t>
                  </w:r>
                </w:p>
                <w:p w14:paraId="593758C5" w14:textId="77777777" w:rsidR="008D2342" w:rsidRPr="008F4D73" w:rsidRDefault="008D2342" w:rsidP="008D2342">
                  <w:pPr>
                    <w:tabs>
                      <w:tab w:val="left" w:pos="7513"/>
                    </w:tabs>
                    <w:spacing w:line="276" w:lineRule="auto"/>
                    <w:jc w:val="center"/>
                    <w:rPr>
                      <w:rFonts w:ascii="Arial" w:hAnsi="Arial" w:cs="Arial"/>
                      <w:b/>
                      <w:bCs/>
                    </w:rPr>
                  </w:pPr>
                  <w:r w:rsidRPr="008F4D73">
                    <w:rPr>
                      <w:rFonts w:ascii="Arial" w:hAnsi="Arial" w:cs="Arial"/>
                      <w:b/>
                      <w:bCs/>
                    </w:rPr>
                    <w:t>CONCILIACIÓN</w:t>
                  </w:r>
                </w:p>
                <w:p w14:paraId="3B55638B" w14:textId="4E781DD7" w:rsidR="008D2342" w:rsidRPr="008F4D73" w:rsidRDefault="009B1900" w:rsidP="006A6533">
                  <w:pPr>
                    <w:tabs>
                      <w:tab w:val="left" w:pos="7513"/>
                    </w:tabs>
                    <w:spacing w:line="276" w:lineRule="auto"/>
                    <w:jc w:val="center"/>
                    <w:rPr>
                      <w:rFonts w:ascii="Arial" w:hAnsi="Arial" w:cs="Arial"/>
                    </w:rPr>
                  </w:pPr>
                  <w:r w:rsidRPr="008F4D73">
                    <w:rPr>
                      <w:rFonts w:ascii="Arial" w:hAnsi="Arial" w:cs="Arial"/>
                    </w:rPr>
                    <w:t>E-</w:t>
                  </w:r>
                  <w:r w:rsidR="00E02B53" w:rsidRPr="008F4D73">
                    <w:rPr>
                      <w:rFonts w:ascii="Arial" w:hAnsi="Arial" w:cs="Arial"/>
                    </w:rPr>
                    <w:t>2026-090069</w:t>
                  </w:r>
                </w:p>
              </w:tc>
              <w:tc>
                <w:tcPr>
                  <w:tcW w:w="3275" w:type="dxa"/>
                </w:tcPr>
                <w:p w14:paraId="55D8AD80" w14:textId="77777777" w:rsidR="008D2342" w:rsidRPr="008F4D73" w:rsidRDefault="008D2342" w:rsidP="008D2342">
                  <w:pPr>
                    <w:tabs>
                      <w:tab w:val="left" w:pos="7513"/>
                    </w:tabs>
                    <w:spacing w:line="276" w:lineRule="auto"/>
                    <w:jc w:val="center"/>
                    <w:rPr>
                      <w:rFonts w:ascii="Arial" w:hAnsi="Arial" w:cs="Arial"/>
                      <w:b/>
                      <w:bCs/>
                    </w:rPr>
                  </w:pPr>
                  <w:r w:rsidRPr="008F4D73">
                    <w:rPr>
                      <w:rFonts w:ascii="Arial" w:hAnsi="Arial" w:cs="Arial"/>
                      <w:b/>
                      <w:bCs/>
                    </w:rPr>
                    <w:t>FECHA DE LOS HECHOS</w:t>
                  </w:r>
                </w:p>
                <w:p w14:paraId="7484F7D1" w14:textId="77777777" w:rsidR="000D7FC5" w:rsidRPr="008F4D73" w:rsidRDefault="000D7FC5" w:rsidP="008D2342">
                  <w:pPr>
                    <w:tabs>
                      <w:tab w:val="left" w:pos="7513"/>
                    </w:tabs>
                    <w:spacing w:line="276" w:lineRule="auto"/>
                    <w:jc w:val="center"/>
                    <w:rPr>
                      <w:rFonts w:ascii="Arial" w:hAnsi="Arial" w:cs="Arial"/>
                      <w:b/>
                      <w:bCs/>
                    </w:rPr>
                  </w:pPr>
                </w:p>
                <w:p w14:paraId="18FA56E0" w14:textId="77777777" w:rsidR="008D2342" w:rsidRPr="008F4D73" w:rsidRDefault="008D2342" w:rsidP="00E956E6">
                  <w:pPr>
                    <w:tabs>
                      <w:tab w:val="left" w:pos="7513"/>
                    </w:tabs>
                    <w:spacing w:line="276" w:lineRule="auto"/>
                    <w:jc w:val="center"/>
                    <w:rPr>
                      <w:rFonts w:ascii="Arial" w:hAnsi="Arial" w:cs="Arial"/>
                      <w:bCs/>
                    </w:rPr>
                  </w:pPr>
                </w:p>
              </w:tc>
              <w:tc>
                <w:tcPr>
                  <w:tcW w:w="3275" w:type="dxa"/>
                </w:tcPr>
                <w:p w14:paraId="56E37E5B" w14:textId="77777777" w:rsidR="008D2342" w:rsidRPr="008F4D73" w:rsidRDefault="008D2342" w:rsidP="008D2342">
                  <w:pPr>
                    <w:tabs>
                      <w:tab w:val="left" w:pos="7513"/>
                    </w:tabs>
                    <w:spacing w:line="276" w:lineRule="auto"/>
                    <w:jc w:val="center"/>
                    <w:rPr>
                      <w:rFonts w:ascii="Arial" w:hAnsi="Arial" w:cs="Arial"/>
                      <w:b/>
                      <w:bCs/>
                    </w:rPr>
                  </w:pPr>
                  <w:r w:rsidRPr="008F4D73">
                    <w:rPr>
                      <w:rFonts w:ascii="Arial" w:hAnsi="Arial" w:cs="Arial"/>
                      <w:b/>
                      <w:bCs/>
                    </w:rPr>
                    <w:t>TIPO DE ACCIÓN O MEDIO DE CONTROL</w:t>
                  </w:r>
                </w:p>
                <w:p w14:paraId="10366A9A" w14:textId="7431820E" w:rsidR="008D2342" w:rsidRPr="008F4D73" w:rsidRDefault="00DB335D" w:rsidP="008D2342">
                  <w:pPr>
                    <w:tabs>
                      <w:tab w:val="left" w:pos="7513"/>
                    </w:tabs>
                    <w:spacing w:line="276" w:lineRule="auto"/>
                    <w:jc w:val="center"/>
                    <w:rPr>
                      <w:rFonts w:ascii="Arial" w:hAnsi="Arial" w:cs="Arial"/>
                      <w:bCs/>
                    </w:rPr>
                  </w:pPr>
                  <w:r w:rsidRPr="008F4D73">
                    <w:rPr>
                      <w:rFonts w:ascii="Arial" w:hAnsi="Arial" w:cs="Arial"/>
                      <w:bCs/>
                    </w:rPr>
                    <w:t>Reparación Directa</w:t>
                  </w:r>
                </w:p>
              </w:tc>
            </w:tr>
          </w:tbl>
          <w:p w14:paraId="44483E68" w14:textId="77777777" w:rsidR="008D2342" w:rsidRPr="008F4D73" w:rsidRDefault="008D2342" w:rsidP="008D2342">
            <w:pPr>
              <w:tabs>
                <w:tab w:val="left" w:pos="7513"/>
              </w:tabs>
              <w:spacing w:line="276" w:lineRule="auto"/>
              <w:jc w:val="both"/>
              <w:rPr>
                <w:rFonts w:ascii="Arial" w:hAnsi="Arial" w:cs="Arial"/>
                <w:b/>
                <w:bCs/>
              </w:rPr>
            </w:pPr>
          </w:p>
          <w:p w14:paraId="600D3678" w14:textId="1B1841B2" w:rsidR="008D2342" w:rsidRPr="008F4D73" w:rsidRDefault="008D2342" w:rsidP="008D2342">
            <w:pPr>
              <w:tabs>
                <w:tab w:val="left" w:pos="7513"/>
              </w:tabs>
              <w:spacing w:line="276" w:lineRule="auto"/>
              <w:jc w:val="both"/>
              <w:rPr>
                <w:rFonts w:ascii="Arial" w:hAnsi="Arial" w:cs="Arial"/>
                <w:bCs/>
              </w:rPr>
            </w:pPr>
            <w:r w:rsidRPr="008F4D73">
              <w:rPr>
                <w:rFonts w:ascii="Arial" w:hAnsi="Arial" w:cs="Arial"/>
                <w:b/>
                <w:bCs/>
              </w:rPr>
              <w:t xml:space="preserve">DESPACHO ACTUAL: </w:t>
            </w:r>
            <w:r w:rsidR="00E956E6" w:rsidRPr="008F4D73">
              <w:rPr>
                <w:rFonts w:ascii="Arial" w:hAnsi="Arial" w:cs="Arial"/>
                <w:bCs/>
              </w:rPr>
              <w:t>Procuraduría 1</w:t>
            </w:r>
            <w:r w:rsidR="009B1900" w:rsidRPr="008F4D73">
              <w:rPr>
                <w:rFonts w:ascii="Arial" w:hAnsi="Arial" w:cs="Arial"/>
                <w:bCs/>
              </w:rPr>
              <w:t>9</w:t>
            </w:r>
            <w:r w:rsidR="00E02B53" w:rsidRPr="008F4D73">
              <w:rPr>
                <w:rFonts w:ascii="Arial" w:hAnsi="Arial" w:cs="Arial"/>
                <w:bCs/>
              </w:rPr>
              <w:t>3</w:t>
            </w:r>
            <w:r w:rsidR="00DB335D" w:rsidRPr="008F4D73">
              <w:rPr>
                <w:rFonts w:ascii="Arial" w:hAnsi="Arial" w:cs="Arial"/>
                <w:bCs/>
              </w:rPr>
              <w:t xml:space="preserve"> Judicial I Para Asuntos Administrativos</w:t>
            </w:r>
            <w:r w:rsidR="009B1900" w:rsidRPr="008F4D73">
              <w:rPr>
                <w:rFonts w:ascii="Arial" w:hAnsi="Arial" w:cs="Arial"/>
                <w:bCs/>
              </w:rPr>
              <w:t xml:space="preserve"> de </w:t>
            </w:r>
            <w:r w:rsidR="00E02B53" w:rsidRPr="008F4D73">
              <w:rPr>
                <w:rFonts w:ascii="Arial" w:hAnsi="Arial" w:cs="Arial"/>
                <w:bCs/>
              </w:rPr>
              <w:t>Medellín</w:t>
            </w:r>
          </w:p>
          <w:p w14:paraId="4CB2BC39" w14:textId="45802306" w:rsidR="00EA569E" w:rsidRPr="008F4D73" w:rsidRDefault="00EA569E" w:rsidP="008D2342">
            <w:pPr>
              <w:tabs>
                <w:tab w:val="left" w:pos="7513"/>
              </w:tabs>
              <w:spacing w:line="276" w:lineRule="auto"/>
              <w:jc w:val="both"/>
              <w:rPr>
                <w:rFonts w:ascii="Arial" w:hAnsi="Arial" w:cs="Arial"/>
                <w:b/>
                <w:bCs/>
              </w:rPr>
            </w:pPr>
          </w:p>
          <w:p w14:paraId="75EF7F45" w14:textId="31230AF0" w:rsidR="008D2342" w:rsidRPr="008F4D73" w:rsidRDefault="008D2342" w:rsidP="008D2342">
            <w:pPr>
              <w:tabs>
                <w:tab w:val="left" w:pos="7513"/>
              </w:tabs>
              <w:spacing w:line="276" w:lineRule="auto"/>
              <w:jc w:val="both"/>
              <w:rPr>
                <w:rFonts w:ascii="Arial" w:hAnsi="Arial" w:cs="Arial"/>
              </w:rPr>
            </w:pPr>
            <w:r w:rsidRPr="008F4D73">
              <w:rPr>
                <w:rFonts w:ascii="Arial" w:hAnsi="Arial" w:cs="Arial"/>
                <w:b/>
                <w:bCs/>
              </w:rPr>
              <w:t>CONVOCANTE(S):</w:t>
            </w:r>
            <w:r w:rsidRPr="008F4D73">
              <w:rPr>
                <w:rFonts w:ascii="Arial" w:hAnsi="Arial" w:cs="Arial"/>
              </w:rPr>
              <w:t xml:space="preserve"> </w:t>
            </w:r>
          </w:p>
          <w:p w14:paraId="6CDA1A84" w14:textId="5F47F12E" w:rsidR="000D191E" w:rsidRPr="008F4D73" w:rsidRDefault="00E02B53" w:rsidP="008D2342">
            <w:pPr>
              <w:tabs>
                <w:tab w:val="left" w:pos="7513"/>
              </w:tabs>
              <w:spacing w:line="276" w:lineRule="auto"/>
              <w:jc w:val="both"/>
              <w:rPr>
                <w:rFonts w:ascii="Arial" w:hAnsi="Arial" w:cs="Arial"/>
                <w:bCs/>
              </w:rPr>
            </w:pPr>
            <w:r w:rsidRPr="008F4D73">
              <w:rPr>
                <w:rFonts w:ascii="Arial" w:hAnsi="Arial" w:cs="Arial"/>
                <w:bCs/>
              </w:rPr>
              <w:t>Luis Armando Beleño Giraldo</w:t>
            </w:r>
          </w:p>
          <w:p w14:paraId="1A94F5C7" w14:textId="5639604D" w:rsidR="00E02B53" w:rsidRPr="008F4D73" w:rsidRDefault="00CB3D43" w:rsidP="008D2342">
            <w:pPr>
              <w:tabs>
                <w:tab w:val="left" w:pos="7513"/>
              </w:tabs>
              <w:spacing w:line="276" w:lineRule="auto"/>
              <w:jc w:val="both"/>
              <w:rPr>
                <w:rFonts w:ascii="Arial" w:hAnsi="Arial" w:cs="Arial"/>
                <w:bCs/>
              </w:rPr>
            </w:pPr>
            <w:r w:rsidRPr="008F4D73">
              <w:rPr>
                <w:rFonts w:ascii="Arial" w:hAnsi="Arial" w:cs="Arial"/>
                <w:bCs/>
              </w:rPr>
              <w:t>Lydia Da Mota</w:t>
            </w:r>
          </w:p>
          <w:p w14:paraId="7FFF89D7" w14:textId="77777777" w:rsidR="00EA569E" w:rsidRPr="008F4D73" w:rsidRDefault="00EA569E" w:rsidP="008D2342">
            <w:pPr>
              <w:tabs>
                <w:tab w:val="left" w:pos="7513"/>
              </w:tabs>
              <w:spacing w:line="276" w:lineRule="auto"/>
              <w:jc w:val="both"/>
              <w:rPr>
                <w:rFonts w:ascii="Arial" w:hAnsi="Arial" w:cs="Arial"/>
                <w:bCs/>
              </w:rPr>
            </w:pPr>
          </w:p>
          <w:p w14:paraId="179FB4E2" w14:textId="77777777" w:rsidR="008D2342" w:rsidRPr="008F4D73" w:rsidRDefault="008D2342" w:rsidP="008D2342">
            <w:pPr>
              <w:tabs>
                <w:tab w:val="left" w:pos="7513"/>
              </w:tabs>
              <w:spacing w:line="276" w:lineRule="auto"/>
              <w:jc w:val="both"/>
              <w:rPr>
                <w:rFonts w:ascii="Arial" w:hAnsi="Arial" w:cs="Arial"/>
                <w:b/>
                <w:bCs/>
              </w:rPr>
            </w:pPr>
            <w:r w:rsidRPr="008F4D73">
              <w:rPr>
                <w:rFonts w:ascii="Arial" w:hAnsi="Arial" w:cs="Arial"/>
                <w:b/>
                <w:bCs/>
              </w:rPr>
              <w:t xml:space="preserve">APODERADO:  </w:t>
            </w:r>
          </w:p>
          <w:p w14:paraId="54387361" w14:textId="7AFBCF29" w:rsidR="00D10292" w:rsidRPr="008F4D73" w:rsidRDefault="00CB3D43" w:rsidP="008D2342">
            <w:pPr>
              <w:spacing w:line="276" w:lineRule="auto"/>
              <w:rPr>
                <w:rFonts w:ascii="Arial" w:hAnsi="Arial" w:cs="Arial"/>
              </w:rPr>
            </w:pPr>
            <w:r w:rsidRPr="008F4D73">
              <w:rPr>
                <w:rFonts w:ascii="Arial" w:hAnsi="Arial" w:cs="Arial"/>
              </w:rPr>
              <w:t>Luis Gabriel Hernández Restrepo</w:t>
            </w:r>
          </w:p>
          <w:p w14:paraId="26A50BE0" w14:textId="0B086C2A" w:rsidR="008D2342" w:rsidRPr="008F4D73" w:rsidRDefault="008D2342" w:rsidP="008D2342">
            <w:pPr>
              <w:spacing w:line="276" w:lineRule="auto"/>
              <w:rPr>
                <w:rFonts w:ascii="Arial" w:hAnsi="Arial" w:cs="Arial"/>
              </w:rPr>
            </w:pPr>
            <w:r w:rsidRPr="008F4D73">
              <w:rPr>
                <w:rFonts w:ascii="Arial" w:hAnsi="Arial" w:cs="Arial"/>
              </w:rPr>
              <w:t xml:space="preserve">C.C. </w:t>
            </w:r>
            <w:r w:rsidR="00122E84" w:rsidRPr="008F4D73">
              <w:rPr>
                <w:rFonts w:ascii="Arial" w:hAnsi="Arial" w:cs="Arial"/>
              </w:rPr>
              <w:t xml:space="preserve">No </w:t>
            </w:r>
            <w:r w:rsidR="009B1900" w:rsidRPr="008F4D73">
              <w:rPr>
                <w:rFonts w:ascii="Arial" w:eastAsiaTheme="minorHAnsi" w:hAnsi="Arial" w:cs="Arial"/>
                <w:lang w:eastAsia="en-US"/>
              </w:rPr>
              <w:t>1.</w:t>
            </w:r>
            <w:r w:rsidR="00CB3D43" w:rsidRPr="008F4D73">
              <w:rPr>
                <w:rFonts w:ascii="Arial" w:eastAsiaTheme="minorHAnsi" w:hAnsi="Arial" w:cs="Arial"/>
                <w:lang w:eastAsia="en-US"/>
              </w:rPr>
              <w:t>152.445.518</w:t>
            </w:r>
          </w:p>
          <w:p w14:paraId="24C566B2" w14:textId="563966FF" w:rsidR="008D2342" w:rsidRPr="008F4D73" w:rsidRDefault="00F6457D" w:rsidP="008D2342">
            <w:pPr>
              <w:tabs>
                <w:tab w:val="left" w:pos="7513"/>
              </w:tabs>
              <w:spacing w:line="276" w:lineRule="auto"/>
              <w:jc w:val="both"/>
              <w:rPr>
                <w:rFonts w:ascii="Arial" w:hAnsi="Arial" w:cs="Arial"/>
              </w:rPr>
            </w:pPr>
            <w:r w:rsidRPr="008F4D73">
              <w:rPr>
                <w:rFonts w:ascii="Arial" w:hAnsi="Arial" w:cs="Arial"/>
              </w:rPr>
              <w:t xml:space="preserve">T.P. No. </w:t>
            </w:r>
            <w:r w:rsidR="00CB3D43" w:rsidRPr="008F4D73">
              <w:rPr>
                <w:rFonts w:ascii="Arial" w:eastAsiaTheme="minorHAnsi" w:hAnsi="Arial" w:cs="Arial"/>
                <w:lang w:eastAsia="en-US"/>
              </w:rPr>
              <w:t>254.078</w:t>
            </w:r>
            <w:r w:rsidR="00E956E6" w:rsidRPr="008F4D73">
              <w:rPr>
                <w:rFonts w:ascii="Arial" w:eastAsiaTheme="minorHAnsi" w:hAnsi="Arial" w:cs="Arial"/>
                <w:lang w:eastAsia="en-US"/>
              </w:rPr>
              <w:t xml:space="preserve"> </w:t>
            </w:r>
            <w:r w:rsidR="008D2342" w:rsidRPr="008F4D73">
              <w:rPr>
                <w:rFonts w:ascii="Arial" w:hAnsi="Arial" w:cs="Arial"/>
              </w:rPr>
              <w:t>del C.S.J.</w:t>
            </w:r>
          </w:p>
          <w:p w14:paraId="284A86BB" w14:textId="50E54BF8" w:rsidR="00EA569E" w:rsidRPr="008F4D73" w:rsidRDefault="00EA569E" w:rsidP="008D2342">
            <w:pPr>
              <w:tabs>
                <w:tab w:val="left" w:pos="7513"/>
              </w:tabs>
              <w:spacing w:line="276" w:lineRule="auto"/>
              <w:jc w:val="both"/>
              <w:rPr>
                <w:rFonts w:ascii="Arial" w:hAnsi="Arial" w:cs="Arial"/>
                <w:b/>
                <w:bCs/>
              </w:rPr>
            </w:pPr>
          </w:p>
          <w:p w14:paraId="075B1C33" w14:textId="77777777" w:rsidR="008D2342" w:rsidRPr="008F4D73" w:rsidRDefault="008D2342" w:rsidP="008D2342">
            <w:pPr>
              <w:tabs>
                <w:tab w:val="left" w:pos="7513"/>
              </w:tabs>
              <w:spacing w:line="276" w:lineRule="auto"/>
              <w:jc w:val="both"/>
              <w:rPr>
                <w:rFonts w:ascii="Arial" w:hAnsi="Arial" w:cs="Arial"/>
                <w:b/>
                <w:bCs/>
              </w:rPr>
            </w:pPr>
            <w:r w:rsidRPr="008F4D73">
              <w:rPr>
                <w:rFonts w:ascii="Arial" w:hAnsi="Arial" w:cs="Arial"/>
                <w:b/>
                <w:bCs/>
              </w:rPr>
              <w:t>CONVOCADO(S)</w:t>
            </w:r>
          </w:p>
          <w:p w14:paraId="68451EEA" w14:textId="31B3428E" w:rsidR="00FC7EE4" w:rsidRPr="008F4D73" w:rsidRDefault="00E956E6" w:rsidP="00DB335D">
            <w:pPr>
              <w:tabs>
                <w:tab w:val="left" w:pos="7513"/>
              </w:tabs>
              <w:spacing w:line="276" w:lineRule="auto"/>
              <w:jc w:val="both"/>
              <w:rPr>
                <w:rFonts w:ascii="Arial" w:hAnsi="Arial" w:cs="Arial"/>
                <w:bCs/>
              </w:rPr>
            </w:pPr>
            <w:r w:rsidRPr="008F4D73">
              <w:rPr>
                <w:rFonts w:ascii="Arial" w:hAnsi="Arial" w:cs="Arial"/>
                <w:bCs/>
              </w:rPr>
              <w:t>Superintendencia De Notariado Y Registro</w:t>
            </w:r>
            <w:r w:rsidR="00CB3D43" w:rsidRPr="008F4D73">
              <w:rPr>
                <w:rFonts w:ascii="Arial" w:hAnsi="Arial" w:cs="Arial"/>
                <w:bCs/>
              </w:rPr>
              <w:t>, Fiscalía General de la Nación, Sociedad de Activos Especiales S.A.S. y Cáceres y Ferro Finca Raíz S.A.</w:t>
            </w:r>
          </w:p>
          <w:p w14:paraId="5843F369" w14:textId="15A1AD42" w:rsidR="00EA569E" w:rsidRPr="008F4D73" w:rsidRDefault="00EA569E" w:rsidP="00543B0F">
            <w:pPr>
              <w:tabs>
                <w:tab w:val="left" w:pos="7513"/>
              </w:tabs>
              <w:spacing w:line="276" w:lineRule="auto"/>
              <w:jc w:val="both"/>
              <w:rPr>
                <w:rFonts w:ascii="Arial" w:hAnsi="Arial" w:cs="Arial"/>
                <w:b/>
                <w:bCs/>
              </w:rPr>
            </w:pPr>
          </w:p>
          <w:p w14:paraId="3FBB6552" w14:textId="6DD57A76" w:rsidR="008D2342" w:rsidRPr="008F4D73" w:rsidRDefault="008D2342" w:rsidP="00543B0F">
            <w:pPr>
              <w:tabs>
                <w:tab w:val="left" w:pos="7513"/>
              </w:tabs>
              <w:spacing w:line="276" w:lineRule="auto"/>
              <w:jc w:val="both"/>
              <w:rPr>
                <w:rFonts w:ascii="Arial" w:hAnsi="Arial" w:cs="Arial"/>
              </w:rPr>
            </w:pPr>
            <w:r w:rsidRPr="008F4D73">
              <w:rPr>
                <w:rFonts w:ascii="Arial" w:hAnsi="Arial" w:cs="Arial"/>
                <w:b/>
                <w:bCs/>
              </w:rPr>
              <w:t>FECHA DE LA AUDIENCIA DE CONCILIACIÓN:</w:t>
            </w:r>
            <w:r w:rsidR="00F45E3C" w:rsidRPr="008F4D73">
              <w:rPr>
                <w:rFonts w:ascii="Arial" w:hAnsi="Arial" w:cs="Arial"/>
                <w:b/>
                <w:bCs/>
              </w:rPr>
              <w:t xml:space="preserve"> </w:t>
            </w:r>
            <w:r w:rsidR="00CB3D43" w:rsidRPr="008F4D73">
              <w:rPr>
                <w:rFonts w:ascii="Arial" w:hAnsi="Arial" w:cs="Arial"/>
              </w:rPr>
              <w:t>24 de marzo de 2026</w:t>
            </w:r>
          </w:p>
          <w:p w14:paraId="6122C359" w14:textId="0C14657B" w:rsidR="00EA569E" w:rsidRPr="008F4D73" w:rsidRDefault="00EA569E" w:rsidP="008D2342">
            <w:pPr>
              <w:tabs>
                <w:tab w:val="left" w:pos="7513"/>
              </w:tabs>
              <w:spacing w:line="276" w:lineRule="auto"/>
              <w:jc w:val="both"/>
              <w:rPr>
                <w:rFonts w:ascii="Arial" w:hAnsi="Arial" w:cs="Arial"/>
                <w:bCs/>
              </w:rPr>
            </w:pPr>
          </w:p>
          <w:p w14:paraId="12E396E3" w14:textId="77777777" w:rsidR="00DB335D" w:rsidRPr="008F4D73" w:rsidRDefault="008D2342" w:rsidP="00F6457D">
            <w:pPr>
              <w:tabs>
                <w:tab w:val="left" w:pos="7513"/>
              </w:tabs>
              <w:spacing w:line="276" w:lineRule="auto"/>
              <w:jc w:val="both"/>
              <w:rPr>
                <w:rFonts w:ascii="Arial" w:hAnsi="Arial" w:cs="Arial"/>
                <w:b/>
                <w:bCs/>
              </w:rPr>
            </w:pPr>
            <w:r w:rsidRPr="008F4D73">
              <w:rPr>
                <w:rFonts w:ascii="Arial" w:hAnsi="Arial" w:cs="Arial"/>
                <w:b/>
                <w:bCs/>
              </w:rPr>
              <w:t>OBSERVACIONES:</w:t>
            </w:r>
            <w:r w:rsidR="00F6457D" w:rsidRPr="008F4D73">
              <w:rPr>
                <w:rFonts w:ascii="Arial" w:hAnsi="Arial" w:cs="Arial"/>
                <w:b/>
                <w:bCs/>
              </w:rPr>
              <w:t xml:space="preserve"> </w:t>
            </w:r>
          </w:p>
          <w:p w14:paraId="0BCD102D" w14:textId="77777777" w:rsidR="00D87FDA" w:rsidRPr="008F4D73" w:rsidRDefault="00D87FDA" w:rsidP="00E956E6">
            <w:pPr>
              <w:tabs>
                <w:tab w:val="left" w:pos="7513"/>
              </w:tabs>
              <w:spacing w:line="276" w:lineRule="auto"/>
              <w:jc w:val="both"/>
              <w:rPr>
                <w:rFonts w:ascii="Arial" w:hAnsi="Arial" w:cs="Arial"/>
                <w:b/>
                <w:bCs/>
              </w:rPr>
            </w:pPr>
          </w:p>
          <w:p w14:paraId="31F2AD3E" w14:textId="77777777" w:rsidR="009B1900" w:rsidRPr="008F4D73" w:rsidRDefault="009B1900" w:rsidP="00E956E6">
            <w:pPr>
              <w:tabs>
                <w:tab w:val="left" w:pos="7513"/>
              </w:tabs>
              <w:spacing w:line="276" w:lineRule="auto"/>
              <w:jc w:val="both"/>
              <w:rPr>
                <w:rFonts w:ascii="Arial" w:hAnsi="Arial" w:cs="Arial"/>
                <w:b/>
                <w:bCs/>
              </w:rPr>
            </w:pPr>
          </w:p>
          <w:p w14:paraId="2BE9ADB1" w14:textId="77777777" w:rsidR="009B1900" w:rsidRPr="008F4D73" w:rsidRDefault="009B1900" w:rsidP="00E956E6">
            <w:pPr>
              <w:tabs>
                <w:tab w:val="left" w:pos="7513"/>
              </w:tabs>
              <w:spacing w:line="276" w:lineRule="auto"/>
              <w:jc w:val="both"/>
              <w:rPr>
                <w:rFonts w:ascii="Arial" w:hAnsi="Arial" w:cs="Arial"/>
                <w:b/>
                <w:bCs/>
              </w:rPr>
            </w:pPr>
          </w:p>
          <w:p w14:paraId="5FE3AD81" w14:textId="77777777" w:rsidR="009B1900" w:rsidRPr="008F4D73" w:rsidRDefault="009B1900" w:rsidP="00E956E6">
            <w:pPr>
              <w:tabs>
                <w:tab w:val="left" w:pos="7513"/>
              </w:tabs>
              <w:spacing w:line="276" w:lineRule="auto"/>
              <w:jc w:val="both"/>
              <w:rPr>
                <w:rFonts w:ascii="Arial" w:hAnsi="Arial" w:cs="Arial"/>
                <w:b/>
                <w:bCs/>
              </w:rPr>
            </w:pPr>
          </w:p>
          <w:p w14:paraId="3CE1C884" w14:textId="7C766D6A" w:rsidR="009B1900" w:rsidRPr="008F4D73" w:rsidRDefault="009B1900" w:rsidP="00E956E6">
            <w:pPr>
              <w:tabs>
                <w:tab w:val="left" w:pos="7513"/>
              </w:tabs>
              <w:spacing w:line="276" w:lineRule="auto"/>
              <w:jc w:val="both"/>
              <w:rPr>
                <w:rFonts w:ascii="Arial" w:hAnsi="Arial" w:cs="Arial"/>
                <w:b/>
                <w:bCs/>
              </w:rPr>
            </w:pPr>
          </w:p>
        </w:tc>
      </w:tr>
      <w:tr w:rsidR="008D2342" w:rsidRPr="008F4D73" w14:paraId="57D22463" w14:textId="77777777" w:rsidTr="00D61AD3">
        <w:trPr>
          <w:trHeight w:val="330"/>
        </w:trPr>
        <w:tc>
          <w:tcPr>
            <w:tcW w:w="9782" w:type="dxa"/>
            <w:tcBorders>
              <w:top w:val="double" w:sz="4" w:space="0" w:color="auto"/>
              <w:left w:val="double" w:sz="4" w:space="0" w:color="auto"/>
              <w:bottom w:val="single" w:sz="4" w:space="0" w:color="auto"/>
              <w:right w:val="double" w:sz="4" w:space="0" w:color="auto"/>
            </w:tcBorders>
            <w:shd w:val="clear" w:color="auto" w:fill="BFBFBF"/>
          </w:tcPr>
          <w:p w14:paraId="04A8B91C" w14:textId="77777777" w:rsidR="008D2342" w:rsidRPr="008F4D73" w:rsidRDefault="008D2342" w:rsidP="008D2342">
            <w:pPr>
              <w:tabs>
                <w:tab w:val="left" w:pos="7513"/>
              </w:tabs>
              <w:spacing w:line="276" w:lineRule="auto"/>
              <w:ind w:left="720"/>
              <w:jc w:val="center"/>
              <w:rPr>
                <w:rFonts w:ascii="Arial" w:hAnsi="Arial" w:cs="Arial"/>
                <w:b/>
                <w:bCs/>
              </w:rPr>
            </w:pPr>
            <w:r w:rsidRPr="008F4D73">
              <w:rPr>
                <w:rFonts w:ascii="Arial" w:hAnsi="Arial" w:cs="Arial"/>
                <w:b/>
                <w:bCs/>
              </w:rPr>
              <w:lastRenderedPageBreak/>
              <w:t>DESCRIPCIÓN DE LA SOLICITUD</w:t>
            </w:r>
          </w:p>
        </w:tc>
      </w:tr>
      <w:tr w:rsidR="008D2342" w:rsidRPr="008F4D73" w14:paraId="3E4C1316" w14:textId="77777777" w:rsidTr="00D61AD3">
        <w:trPr>
          <w:trHeight w:val="1867"/>
        </w:trPr>
        <w:tc>
          <w:tcPr>
            <w:tcW w:w="9782" w:type="dxa"/>
            <w:tcBorders>
              <w:top w:val="single" w:sz="4" w:space="0" w:color="auto"/>
              <w:left w:val="double" w:sz="4" w:space="0" w:color="auto"/>
              <w:bottom w:val="single" w:sz="4" w:space="0" w:color="auto"/>
              <w:right w:val="double" w:sz="4" w:space="0" w:color="auto"/>
            </w:tcBorders>
          </w:tcPr>
          <w:p w14:paraId="33CAD32A" w14:textId="77777777" w:rsidR="008D2342" w:rsidRPr="008F4D73" w:rsidRDefault="008D2342" w:rsidP="008D2342">
            <w:pPr>
              <w:tabs>
                <w:tab w:val="left" w:pos="7513"/>
              </w:tabs>
              <w:spacing w:line="276" w:lineRule="auto"/>
              <w:jc w:val="center"/>
              <w:rPr>
                <w:rFonts w:ascii="Arial" w:hAnsi="Arial" w:cs="Arial"/>
                <w:b/>
                <w:bCs/>
              </w:rPr>
            </w:pPr>
          </w:p>
          <w:p w14:paraId="0713CD00" w14:textId="77777777" w:rsidR="008D2342" w:rsidRPr="008F4D73" w:rsidRDefault="008D2342" w:rsidP="00FC43AA">
            <w:pPr>
              <w:numPr>
                <w:ilvl w:val="0"/>
                <w:numId w:val="37"/>
              </w:numPr>
              <w:tabs>
                <w:tab w:val="left" w:pos="7513"/>
              </w:tabs>
              <w:spacing w:line="276" w:lineRule="auto"/>
              <w:ind w:left="720" w:hanging="360"/>
              <w:jc w:val="center"/>
              <w:rPr>
                <w:rFonts w:ascii="Arial" w:hAnsi="Arial" w:cs="Arial"/>
                <w:b/>
                <w:bCs/>
              </w:rPr>
            </w:pPr>
            <w:r w:rsidRPr="008F4D73">
              <w:rPr>
                <w:rFonts w:ascii="Arial" w:hAnsi="Arial" w:cs="Arial"/>
                <w:b/>
                <w:bCs/>
              </w:rPr>
              <w:t>PRETENSIONES DE LA SOLICITUD</w:t>
            </w:r>
          </w:p>
          <w:p w14:paraId="1DAC2B34" w14:textId="77777777" w:rsidR="008D2342" w:rsidRPr="008F4D73" w:rsidRDefault="008D2342" w:rsidP="008D2342">
            <w:pPr>
              <w:tabs>
                <w:tab w:val="left" w:pos="7513"/>
              </w:tabs>
              <w:spacing w:line="276" w:lineRule="auto"/>
              <w:rPr>
                <w:rFonts w:ascii="Arial" w:hAnsi="Arial" w:cs="Arial"/>
                <w:b/>
                <w:bCs/>
              </w:rPr>
            </w:pPr>
          </w:p>
          <w:p w14:paraId="71023830" w14:textId="4D1AC8F8" w:rsidR="008D2342" w:rsidRPr="008F4D73" w:rsidRDefault="008D2342" w:rsidP="008D2342">
            <w:pPr>
              <w:tabs>
                <w:tab w:val="left" w:pos="7513"/>
              </w:tabs>
              <w:spacing w:line="276" w:lineRule="auto"/>
              <w:rPr>
                <w:rFonts w:ascii="Arial" w:hAnsi="Arial" w:cs="Arial"/>
                <w:bCs/>
              </w:rPr>
            </w:pPr>
            <w:r w:rsidRPr="008F4D73">
              <w:rPr>
                <w:rFonts w:ascii="Arial" w:hAnsi="Arial" w:cs="Arial"/>
                <w:bCs/>
              </w:rPr>
              <w:t xml:space="preserve">La parte convocante las formula en los siguientes términos: </w:t>
            </w:r>
          </w:p>
          <w:p w14:paraId="179CB1EE" w14:textId="31705900" w:rsidR="00171FB0" w:rsidRPr="008F4D73" w:rsidRDefault="00171FB0" w:rsidP="008D2342">
            <w:pPr>
              <w:tabs>
                <w:tab w:val="left" w:pos="7513"/>
              </w:tabs>
              <w:spacing w:line="276" w:lineRule="auto"/>
              <w:rPr>
                <w:rFonts w:ascii="Arial" w:hAnsi="Arial" w:cs="Arial"/>
                <w:bCs/>
              </w:rPr>
            </w:pPr>
          </w:p>
          <w:p w14:paraId="69A19BD1" w14:textId="77777777" w:rsidR="00CB3D43" w:rsidRPr="008F4D73" w:rsidRDefault="00171FB0" w:rsidP="00A05D61">
            <w:pPr>
              <w:autoSpaceDE w:val="0"/>
              <w:autoSpaceDN w:val="0"/>
              <w:adjustRightInd w:val="0"/>
              <w:jc w:val="both"/>
              <w:rPr>
                <w:rFonts w:ascii="Arial" w:hAnsi="Arial" w:cs="Arial"/>
                <w:i/>
                <w:iCs/>
              </w:rPr>
            </w:pPr>
            <w:r w:rsidRPr="008F4D73">
              <w:rPr>
                <w:rFonts w:ascii="Arial" w:eastAsiaTheme="minorHAnsi" w:hAnsi="Arial" w:cs="Arial"/>
                <w:i/>
                <w:color w:val="000000"/>
                <w:lang w:eastAsia="en-US"/>
              </w:rPr>
              <w:t>“[</w:t>
            </w:r>
            <w:r w:rsidR="00CB3D43" w:rsidRPr="008F4D73">
              <w:rPr>
                <w:rFonts w:ascii="Arial" w:hAnsi="Arial" w:cs="Arial"/>
                <w:i/>
                <w:iCs/>
              </w:rPr>
              <w:t xml:space="preserve">2.1. Declárese que la </w:t>
            </w:r>
            <w:r w:rsidR="00CB3D43" w:rsidRPr="008F4D73">
              <w:rPr>
                <w:rFonts w:ascii="Arial" w:hAnsi="Arial" w:cs="Arial"/>
                <w:b/>
                <w:bCs/>
                <w:i/>
                <w:iCs/>
              </w:rPr>
              <w:t>NACIÓN – FISCALÍA GENERAL DE LA NACIÓN</w:t>
            </w:r>
            <w:r w:rsidR="00CB3D43" w:rsidRPr="008F4D73">
              <w:rPr>
                <w:rFonts w:ascii="Arial" w:hAnsi="Arial" w:cs="Arial"/>
                <w:i/>
                <w:iCs/>
              </w:rPr>
              <w:t xml:space="preserve">, la </w:t>
            </w:r>
            <w:r w:rsidR="00CB3D43" w:rsidRPr="008F4D73">
              <w:rPr>
                <w:rFonts w:ascii="Arial" w:hAnsi="Arial" w:cs="Arial"/>
                <w:b/>
                <w:bCs/>
                <w:i/>
                <w:iCs/>
              </w:rPr>
              <w:t>SUPERINTENDENCIA DE NOTARIADO Y REGISTRO</w:t>
            </w:r>
            <w:r w:rsidR="00CB3D43" w:rsidRPr="008F4D73">
              <w:rPr>
                <w:rFonts w:ascii="Arial" w:hAnsi="Arial" w:cs="Arial"/>
                <w:i/>
                <w:iCs/>
              </w:rPr>
              <w:t xml:space="preserve">, la </w:t>
            </w:r>
            <w:r w:rsidR="00CB3D43" w:rsidRPr="008F4D73">
              <w:rPr>
                <w:rFonts w:ascii="Arial" w:hAnsi="Arial" w:cs="Arial"/>
                <w:b/>
                <w:bCs/>
                <w:i/>
                <w:iCs/>
              </w:rPr>
              <w:t xml:space="preserve">SOCIEDAD DE ACTIVOS ESPECIALES S.A.S. (SAE) </w:t>
            </w:r>
            <w:r w:rsidR="00CB3D43" w:rsidRPr="008F4D73">
              <w:rPr>
                <w:rFonts w:ascii="Arial" w:hAnsi="Arial" w:cs="Arial"/>
                <w:i/>
                <w:iCs/>
              </w:rPr>
              <w:t xml:space="preserve">y la sociedad </w:t>
            </w:r>
            <w:r w:rsidR="00CB3D43" w:rsidRPr="008F4D73">
              <w:rPr>
                <w:rFonts w:ascii="Arial" w:hAnsi="Arial" w:cs="Arial"/>
                <w:b/>
                <w:bCs/>
                <w:i/>
                <w:iCs/>
              </w:rPr>
              <w:t>CÁCERES Y FERRO FINCA RAÍZ S.A</w:t>
            </w:r>
            <w:r w:rsidR="00CB3D43" w:rsidRPr="008F4D73">
              <w:rPr>
                <w:rFonts w:ascii="Arial" w:hAnsi="Arial" w:cs="Arial"/>
                <w:i/>
                <w:iCs/>
              </w:rPr>
              <w:t xml:space="preserve">., son patrimonial y solidariamente responsables, en los términos del artículo 90 de la Constitución Política, por el daño antijurídico causado a los señores </w:t>
            </w:r>
            <w:r w:rsidR="00CB3D43" w:rsidRPr="008F4D73">
              <w:rPr>
                <w:rFonts w:ascii="Arial" w:hAnsi="Arial" w:cs="Arial"/>
                <w:b/>
                <w:bCs/>
                <w:i/>
                <w:iCs/>
              </w:rPr>
              <w:t>LUIS ARMANDO BELEÑO GIRALDO y LYDIA DA MOTA</w:t>
            </w:r>
            <w:r w:rsidR="00CB3D43" w:rsidRPr="008F4D73">
              <w:rPr>
                <w:rFonts w:ascii="Arial" w:hAnsi="Arial" w:cs="Arial"/>
                <w:i/>
                <w:iCs/>
              </w:rPr>
              <w:t>, consistente en la pérdida de la tenencia, posesión, explotación económica y valor patrimonial del bien inmueble identificado con el folio de matrícula inmobiliaria No. 001-315387 de la Oficina de Registro de Instrumentos Públicos de Medellín – Zona Sur, daño que resulta imputable a la acción y omisión de los convocados.</w:t>
            </w:r>
          </w:p>
          <w:p w14:paraId="44D9D3C4" w14:textId="77777777" w:rsidR="004A7A75" w:rsidRPr="004A7A75" w:rsidRDefault="004A7A75" w:rsidP="004A7A75">
            <w:pPr>
              <w:autoSpaceDE w:val="0"/>
              <w:autoSpaceDN w:val="0"/>
              <w:adjustRightInd w:val="0"/>
              <w:jc w:val="both"/>
              <w:rPr>
                <w:rFonts w:ascii="Arial" w:hAnsi="Arial" w:cs="Arial"/>
                <w:i/>
                <w:iCs/>
                <w:lang w:val="es-CO"/>
              </w:rPr>
            </w:pPr>
            <w:r w:rsidRPr="004A7A75">
              <w:rPr>
                <w:rFonts w:ascii="Arial" w:hAnsi="Arial" w:cs="Arial"/>
                <w:i/>
                <w:iCs/>
                <w:lang w:val="es-CO"/>
              </w:rPr>
              <w:t xml:space="preserve">2.2. Que, como consecuencia de lo anterior, se condene solidariamente a las demandadas a reconocer y pagar a favor de los demandantes por concepto de indemnización integral de perjuicios, los siguientes conceptos: </w:t>
            </w:r>
          </w:p>
          <w:p w14:paraId="739DDDB7" w14:textId="77777777" w:rsidR="004A7A75" w:rsidRPr="004A7A75" w:rsidRDefault="004A7A75" w:rsidP="004A7A75">
            <w:pPr>
              <w:autoSpaceDE w:val="0"/>
              <w:autoSpaceDN w:val="0"/>
              <w:adjustRightInd w:val="0"/>
              <w:jc w:val="both"/>
              <w:rPr>
                <w:rFonts w:ascii="Arial" w:hAnsi="Arial" w:cs="Arial"/>
                <w:i/>
                <w:iCs/>
                <w:lang w:val="es-CO"/>
              </w:rPr>
            </w:pPr>
            <w:r w:rsidRPr="004A7A75">
              <w:rPr>
                <w:rFonts w:ascii="Arial" w:hAnsi="Arial" w:cs="Arial"/>
                <w:i/>
                <w:iCs/>
                <w:lang w:val="es-CO"/>
              </w:rPr>
              <w:t xml:space="preserve">2.2.1. Por concepto de perjuicios morales, el equivalente a </w:t>
            </w:r>
            <w:r w:rsidRPr="004A7A75">
              <w:rPr>
                <w:rFonts w:ascii="Arial" w:hAnsi="Arial" w:cs="Arial"/>
                <w:b/>
                <w:bCs/>
                <w:i/>
                <w:iCs/>
                <w:lang w:val="es-CO"/>
              </w:rPr>
              <w:t>CINCUENTA (50) SALARIOS MÍNIMOS MENSUALES LEGALES VIGENTES (SMMLV)</w:t>
            </w:r>
            <w:r w:rsidRPr="004A7A75">
              <w:rPr>
                <w:rFonts w:ascii="Arial" w:hAnsi="Arial" w:cs="Arial"/>
                <w:i/>
                <w:iCs/>
                <w:lang w:val="es-CO"/>
              </w:rPr>
              <w:t xml:space="preserve">, a favor de cada uno de los demandantes, o la suma que resulte probada dentro del proceso. </w:t>
            </w:r>
          </w:p>
          <w:p w14:paraId="0A4FBBAE" w14:textId="77777777" w:rsidR="004A7A75" w:rsidRPr="004A7A75" w:rsidRDefault="004A7A75" w:rsidP="004A7A75">
            <w:pPr>
              <w:autoSpaceDE w:val="0"/>
              <w:autoSpaceDN w:val="0"/>
              <w:adjustRightInd w:val="0"/>
              <w:jc w:val="both"/>
              <w:rPr>
                <w:rFonts w:ascii="Arial" w:hAnsi="Arial" w:cs="Arial"/>
                <w:i/>
                <w:iCs/>
                <w:lang w:val="es-CO"/>
              </w:rPr>
            </w:pPr>
            <w:r w:rsidRPr="004A7A75">
              <w:rPr>
                <w:rFonts w:ascii="Arial" w:hAnsi="Arial" w:cs="Arial"/>
                <w:i/>
                <w:iCs/>
                <w:lang w:val="es-CO"/>
              </w:rPr>
              <w:t xml:space="preserve">2.2.2. Por concepto de daño emergente, la suma de </w:t>
            </w:r>
            <w:r w:rsidRPr="004A7A75">
              <w:rPr>
                <w:rFonts w:ascii="Arial" w:hAnsi="Arial" w:cs="Arial"/>
                <w:b/>
                <w:bCs/>
                <w:i/>
                <w:iCs/>
                <w:lang w:val="es-CO"/>
              </w:rPr>
              <w:t>SETECIENTOS CUARENTA MILLONES DE PESOS ($740.000.000 COP)</w:t>
            </w:r>
            <w:r w:rsidRPr="004A7A75">
              <w:rPr>
                <w:rFonts w:ascii="Arial" w:hAnsi="Arial" w:cs="Arial"/>
                <w:i/>
                <w:iCs/>
                <w:lang w:val="es-CO"/>
              </w:rPr>
              <w:t xml:space="preserve">, correspondiente al valor efectivamente pagado por los demandantes en la adquisición del bien inmueble identificado con el folio de matrícula inmobiliaria No. 001-315387 de la Oficina de Registro de Instrumentos Públicos de Medellín – Zona Sur. </w:t>
            </w:r>
          </w:p>
          <w:p w14:paraId="2FDFC1FA" w14:textId="77777777" w:rsidR="004A7A75" w:rsidRPr="004A7A75" w:rsidRDefault="004A7A75" w:rsidP="004A7A75">
            <w:pPr>
              <w:autoSpaceDE w:val="0"/>
              <w:autoSpaceDN w:val="0"/>
              <w:adjustRightInd w:val="0"/>
              <w:jc w:val="both"/>
              <w:rPr>
                <w:rFonts w:ascii="Arial" w:hAnsi="Arial" w:cs="Arial"/>
                <w:i/>
                <w:iCs/>
                <w:lang w:val="es-CO"/>
              </w:rPr>
            </w:pPr>
            <w:r w:rsidRPr="004A7A75">
              <w:rPr>
                <w:rFonts w:ascii="Arial" w:hAnsi="Arial" w:cs="Arial"/>
                <w:i/>
                <w:iCs/>
                <w:lang w:val="es-CO"/>
              </w:rPr>
              <w:t xml:space="preserve">2.2.3. Por concepto de daño emergente, la suma de </w:t>
            </w:r>
            <w:r w:rsidRPr="004A7A75">
              <w:rPr>
                <w:rFonts w:ascii="Arial" w:hAnsi="Arial" w:cs="Arial"/>
                <w:b/>
                <w:bCs/>
                <w:i/>
                <w:iCs/>
                <w:lang w:val="es-CO"/>
              </w:rPr>
              <w:t>VEINTISEIS MILLONES QUINIENTOS NOVENTA Y CINCO MIL DOSCIENTOS SESENTA Y OCHO PESOS ($26.595.268)</w:t>
            </w:r>
            <w:r w:rsidRPr="004A7A75">
              <w:rPr>
                <w:rFonts w:ascii="Arial" w:hAnsi="Arial" w:cs="Arial"/>
                <w:i/>
                <w:iCs/>
                <w:lang w:val="es-CO"/>
              </w:rPr>
              <w:t xml:space="preserve">, correspondiente a los gastos notariales y de registro en que incurrieron los demandantes con la suscripción y registro de la escritura pública de venta. </w:t>
            </w:r>
          </w:p>
          <w:p w14:paraId="36215D67" w14:textId="77777777" w:rsidR="004A7A75" w:rsidRPr="004A7A75" w:rsidRDefault="004A7A75" w:rsidP="004A7A75">
            <w:pPr>
              <w:autoSpaceDE w:val="0"/>
              <w:autoSpaceDN w:val="0"/>
              <w:adjustRightInd w:val="0"/>
              <w:jc w:val="both"/>
              <w:rPr>
                <w:rFonts w:ascii="Arial" w:hAnsi="Arial" w:cs="Arial"/>
                <w:i/>
                <w:iCs/>
                <w:lang w:val="es-CO"/>
              </w:rPr>
            </w:pPr>
            <w:r w:rsidRPr="004A7A75">
              <w:rPr>
                <w:rFonts w:ascii="Arial" w:hAnsi="Arial" w:cs="Arial"/>
                <w:i/>
                <w:iCs/>
                <w:lang w:val="es-CO"/>
              </w:rPr>
              <w:t xml:space="preserve">2.2.4. Por concepto de daño emergente, la suma de </w:t>
            </w:r>
            <w:r w:rsidRPr="004A7A75">
              <w:rPr>
                <w:rFonts w:ascii="Arial" w:hAnsi="Arial" w:cs="Arial"/>
                <w:b/>
                <w:bCs/>
                <w:i/>
                <w:iCs/>
                <w:lang w:val="es-CO"/>
              </w:rPr>
              <w:t xml:space="preserve">TRESCIENTOS MILLONES DE PESOS ($300.000.000), </w:t>
            </w:r>
            <w:r w:rsidRPr="004A7A75">
              <w:rPr>
                <w:rFonts w:ascii="Arial" w:hAnsi="Arial" w:cs="Arial"/>
                <w:i/>
                <w:iCs/>
                <w:lang w:val="es-CO"/>
              </w:rPr>
              <w:t xml:space="preserve">correspondiente al valor de las remodelaciones y readecuaciones que los demandantes realizaron sobre el inmueble. </w:t>
            </w:r>
          </w:p>
          <w:p w14:paraId="3908FA21" w14:textId="77777777" w:rsidR="004A7A75" w:rsidRPr="004A7A75" w:rsidRDefault="004A7A75" w:rsidP="004A7A75">
            <w:pPr>
              <w:autoSpaceDE w:val="0"/>
              <w:autoSpaceDN w:val="0"/>
              <w:adjustRightInd w:val="0"/>
              <w:jc w:val="both"/>
              <w:rPr>
                <w:rFonts w:ascii="Arial" w:hAnsi="Arial" w:cs="Arial"/>
                <w:i/>
                <w:iCs/>
                <w:lang w:val="es-CO"/>
              </w:rPr>
            </w:pPr>
            <w:r w:rsidRPr="004A7A75">
              <w:rPr>
                <w:rFonts w:ascii="Arial" w:hAnsi="Arial" w:cs="Arial"/>
                <w:i/>
                <w:iCs/>
                <w:lang w:val="es-CO"/>
              </w:rPr>
              <w:t xml:space="preserve">2.2.5. Por concepto de daño emergente, la suma de </w:t>
            </w:r>
            <w:r w:rsidRPr="004A7A75">
              <w:rPr>
                <w:rFonts w:ascii="Arial" w:hAnsi="Arial" w:cs="Arial"/>
                <w:b/>
                <w:bCs/>
                <w:i/>
                <w:iCs/>
                <w:lang w:val="es-CO"/>
              </w:rPr>
              <w:t xml:space="preserve">CINCO MIL CIENTO CUARENTA Y UN EUROS (E5.141), </w:t>
            </w:r>
            <w:r w:rsidRPr="004A7A75">
              <w:rPr>
                <w:rFonts w:ascii="Arial" w:hAnsi="Arial" w:cs="Arial"/>
                <w:i/>
                <w:iCs/>
                <w:lang w:val="es-CO"/>
              </w:rPr>
              <w:t xml:space="preserve">convertidos a pesos colombianos según la tasa de cambio vigente para la fecha del pago, correspondiente al valor de los tiquetes de viajes en que los </w:t>
            </w:r>
            <w:r w:rsidRPr="004A7A75">
              <w:rPr>
                <w:rFonts w:ascii="Arial" w:hAnsi="Arial" w:cs="Arial"/>
                <w:i/>
                <w:iCs/>
                <w:lang w:val="es-CO"/>
              </w:rPr>
              <w:lastRenderedPageBreak/>
              <w:t xml:space="preserve">demandantes debieron incurrir para hacer frente a </w:t>
            </w:r>
            <w:proofErr w:type="gramStart"/>
            <w:r w:rsidRPr="004A7A75">
              <w:rPr>
                <w:rFonts w:ascii="Arial" w:hAnsi="Arial" w:cs="Arial"/>
                <w:i/>
                <w:iCs/>
                <w:lang w:val="es-CO"/>
              </w:rPr>
              <w:t>la situaciones ocurridas</w:t>
            </w:r>
            <w:proofErr w:type="gramEnd"/>
            <w:r w:rsidRPr="004A7A75">
              <w:rPr>
                <w:rFonts w:ascii="Arial" w:hAnsi="Arial" w:cs="Arial"/>
                <w:i/>
                <w:iCs/>
                <w:lang w:val="es-CO"/>
              </w:rPr>
              <w:t xml:space="preserve"> con posterioridad a la negativa de registro de la escritura pública de venta. </w:t>
            </w:r>
          </w:p>
          <w:p w14:paraId="3285BE37" w14:textId="2870A94B" w:rsidR="004A7A75" w:rsidRPr="008F4D73" w:rsidRDefault="004A7A75" w:rsidP="004A7A75">
            <w:pPr>
              <w:autoSpaceDE w:val="0"/>
              <w:autoSpaceDN w:val="0"/>
              <w:adjustRightInd w:val="0"/>
              <w:jc w:val="both"/>
              <w:rPr>
                <w:rFonts w:ascii="Arial" w:hAnsi="Arial" w:cs="Arial"/>
                <w:i/>
                <w:iCs/>
                <w:lang w:val="es-CO"/>
              </w:rPr>
            </w:pPr>
            <w:r w:rsidRPr="008F4D73">
              <w:rPr>
                <w:rFonts w:ascii="Arial" w:hAnsi="Arial" w:cs="Arial"/>
                <w:i/>
                <w:iCs/>
                <w:lang w:val="es-CO"/>
              </w:rPr>
              <w:t xml:space="preserve">2.2.6. Por concepto de daño emergente, la suma de </w:t>
            </w:r>
            <w:r w:rsidRPr="008F4D73">
              <w:rPr>
                <w:rFonts w:ascii="Arial" w:hAnsi="Arial" w:cs="Arial"/>
                <w:b/>
                <w:bCs/>
                <w:i/>
                <w:iCs/>
                <w:lang w:val="es-CO"/>
              </w:rPr>
              <w:t>CUARENTA Y TRES MILLONES DE PESOS ($43.000.000)</w:t>
            </w:r>
            <w:r w:rsidRPr="008F4D73">
              <w:rPr>
                <w:rFonts w:ascii="Arial" w:hAnsi="Arial" w:cs="Arial"/>
                <w:i/>
                <w:iCs/>
                <w:lang w:val="es-CO"/>
              </w:rPr>
              <w:t>, correspondiente a los valores que los demandantes debieron asumir para indemnizar los perjuicios causados a los arrendatarios con ocasión del desalojo del inmueble identificado con el folio de matrícula inmobiliaria No. 001-315387 de la Oficina de Registro de Instrumentos Públicos de Medellín – Zona Sur.</w:t>
            </w:r>
          </w:p>
          <w:p w14:paraId="4A61FEFF" w14:textId="77777777" w:rsidR="004A7A75" w:rsidRPr="004A7A75" w:rsidRDefault="004A7A75" w:rsidP="004A7A75">
            <w:pPr>
              <w:autoSpaceDE w:val="0"/>
              <w:autoSpaceDN w:val="0"/>
              <w:adjustRightInd w:val="0"/>
              <w:jc w:val="both"/>
              <w:rPr>
                <w:rFonts w:ascii="Arial" w:hAnsi="Arial" w:cs="Arial"/>
                <w:i/>
                <w:iCs/>
                <w:lang w:val="es-CO"/>
              </w:rPr>
            </w:pPr>
            <w:r w:rsidRPr="004A7A75">
              <w:rPr>
                <w:rFonts w:ascii="Arial" w:hAnsi="Arial" w:cs="Arial"/>
                <w:i/>
                <w:iCs/>
                <w:lang w:val="es-CO"/>
              </w:rPr>
              <w:t xml:space="preserve">2.2.7. Por concepto de lucro cesante consolidado, la suma de </w:t>
            </w:r>
            <w:r w:rsidRPr="004A7A75">
              <w:rPr>
                <w:rFonts w:ascii="Arial" w:hAnsi="Arial" w:cs="Arial"/>
                <w:b/>
                <w:bCs/>
                <w:i/>
                <w:iCs/>
                <w:lang w:val="es-CO"/>
              </w:rPr>
              <w:t>SETENTA Y TRES MILLONES DOSCIENTOS SESENTA Y CINCO MIL SEISCIENTOS SEIS PESOS ($73.265.606)</w:t>
            </w:r>
            <w:r w:rsidRPr="004A7A75">
              <w:rPr>
                <w:rFonts w:ascii="Arial" w:hAnsi="Arial" w:cs="Arial"/>
                <w:i/>
                <w:iCs/>
                <w:lang w:val="es-CO"/>
              </w:rPr>
              <w:t xml:space="preserve">, correspondiente a los cánones de arrendamiento dejados de percibir por los demandantes entre el 21 de marzo de 2025 y la fecha de presentación de la demanda. </w:t>
            </w:r>
          </w:p>
          <w:p w14:paraId="2C80520E" w14:textId="77777777" w:rsidR="004A7A75" w:rsidRPr="004A7A75" w:rsidRDefault="004A7A75" w:rsidP="004A7A75">
            <w:pPr>
              <w:autoSpaceDE w:val="0"/>
              <w:autoSpaceDN w:val="0"/>
              <w:adjustRightInd w:val="0"/>
              <w:jc w:val="both"/>
              <w:rPr>
                <w:rFonts w:ascii="Arial" w:hAnsi="Arial" w:cs="Arial"/>
                <w:i/>
                <w:iCs/>
                <w:lang w:val="es-CO"/>
              </w:rPr>
            </w:pPr>
            <w:r w:rsidRPr="004A7A75">
              <w:rPr>
                <w:rFonts w:ascii="Arial" w:hAnsi="Arial" w:cs="Arial"/>
                <w:i/>
                <w:iCs/>
                <w:lang w:val="es-CO"/>
              </w:rPr>
              <w:t xml:space="preserve">2.2.8. Por concepto de lucro cesante futuro, la suma de </w:t>
            </w:r>
            <w:r w:rsidRPr="004A7A75">
              <w:rPr>
                <w:rFonts w:ascii="Arial" w:hAnsi="Arial" w:cs="Arial"/>
                <w:b/>
                <w:bCs/>
                <w:i/>
                <w:iCs/>
                <w:lang w:val="es-CO"/>
              </w:rPr>
              <w:t>DOSCIENTOS OCHENTA Y DOS MILLONES SETECIENTOS SESENTA MIL OCHENTA Y OCHO PESOS ($ 282.760.088)</w:t>
            </w:r>
            <w:r w:rsidRPr="004A7A75">
              <w:rPr>
                <w:rFonts w:ascii="Arial" w:hAnsi="Arial" w:cs="Arial"/>
                <w:i/>
                <w:iCs/>
                <w:lang w:val="es-CO"/>
              </w:rPr>
              <w:t xml:space="preserve">, correspondiente a los cánones de arrendamiento que los demandantes dejarán de percibir desde la presentación de la demanda y hasta el término máximo estimado de sesenta (60) meses, plazo que corresponde a la duración promedio de un contrato de arrendamiento de vivienda urbana, o la suma que resulte probada dentro del proceso. </w:t>
            </w:r>
          </w:p>
          <w:p w14:paraId="51D8BF9F" w14:textId="77777777" w:rsidR="004A7A75" w:rsidRPr="004A7A75" w:rsidRDefault="004A7A75" w:rsidP="004A7A75">
            <w:pPr>
              <w:autoSpaceDE w:val="0"/>
              <w:autoSpaceDN w:val="0"/>
              <w:adjustRightInd w:val="0"/>
              <w:jc w:val="both"/>
              <w:rPr>
                <w:rFonts w:ascii="Arial" w:hAnsi="Arial" w:cs="Arial"/>
                <w:i/>
                <w:iCs/>
                <w:lang w:val="es-CO"/>
              </w:rPr>
            </w:pPr>
            <w:r w:rsidRPr="004A7A75">
              <w:rPr>
                <w:rFonts w:ascii="Arial" w:hAnsi="Arial" w:cs="Arial"/>
                <w:i/>
                <w:iCs/>
                <w:lang w:val="es-CO"/>
              </w:rPr>
              <w:t xml:space="preserve">2.3. Que se ordene que todas las sumas que resulten reconocidas a favor de los demandantes sean debidamente actualizadas conforme a la variación del Índice de Precios al Consumidor (IPC), desde la fecha de causación de cada perjuicio y hasta el momento de su pago efectivo. </w:t>
            </w:r>
          </w:p>
          <w:p w14:paraId="6B23BDA4" w14:textId="1799F37D" w:rsidR="00513987" w:rsidRPr="008F4D73" w:rsidRDefault="004A7A75" w:rsidP="00A05D61">
            <w:pPr>
              <w:autoSpaceDE w:val="0"/>
              <w:autoSpaceDN w:val="0"/>
              <w:adjustRightInd w:val="0"/>
              <w:jc w:val="both"/>
              <w:rPr>
                <w:rFonts w:ascii="Arial" w:hAnsi="Arial" w:cs="Arial"/>
              </w:rPr>
            </w:pPr>
            <w:r w:rsidRPr="008F4D73">
              <w:rPr>
                <w:rFonts w:ascii="Arial" w:hAnsi="Arial" w:cs="Arial"/>
                <w:i/>
                <w:iCs/>
                <w:lang w:val="es-CO"/>
              </w:rPr>
              <w:t>2.4. Que se condene en costas del proceso y agencias en derecho</w:t>
            </w:r>
            <w:r w:rsidR="00EA569E" w:rsidRPr="008F4D73">
              <w:rPr>
                <w:rFonts w:ascii="Arial" w:eastAsiaTheme="minorHAnsi" w:hAnsi="Arial" w:cs="Arial"/>
                <w:i/>
                <w:color w:val="000000"/>
                <w:lang w:eastAsia="en-US"/>
              </w:rPr>
              <w:t>]”</w:t>
            </w:r>
            <w:r w:rsidR="00377AB6" w:rsidRPr="008F4D73">
              <w:rPr>
                <w:rFonts w:ascii="Arial" w:eastAsiaTheme="minorHAnsi" w:hAnsi="Arial" w:cs="Arial"/>
                <w:i/>
                <w:color w:val="000000"/>
                <w:lang w:eastAsia="en-US"/>
              </w:rPr>
              <w:t>.</w:t>
            </w:r>
          </w:p>
          <w:p w14:paraId="59A4495B" w14:textId="2631080B" w:rsidR="00513987" w:rsidRPr="008F4D73" w:rsidRDefault="00513987" w:rsidP="00171FB0">
            <w:pPr>
              <w:autoSpaceDE w:val="0"/>
              <w:autoSpaceDN w:val="0"/>
              <w:adjustRightInd w:val="0"/>
              <w:jc w:val="both"/>
              <w:rPr>
                <w:rFonts w:ascii="Arial" w:eastAsiaTheme="minorHAnsi" w:hAnsi="Arial" w:cs="Arial"/>
                <w:bCs/>
                <w:i/>
                <w:iCs/>
                <w:color w:val="000000"/>
                <w:lang w:eastAsia="en-US"/>
              </w:rPr>
            </w:pPr>
          </w:p>
          <w:p w14:paraId="160DB5CC" w14:textId="6C17D411" w:rsidR="00AC16FB" w:rsidRPr="008F4D73" w:rsidRDefault="00AC16FB" w:rsidP="008D2342">
            <w:pPr>
              <w:tabs>
                <w:tab w:val="left" w:pos="7513"/>
              </w:tabs>
              <w:spacing w:line="276" w:lineRule="auto"/>
              <w:rPr>
                <w:rFonts w:ascii="Arial" w:hAnsi="Arial" w:cs="Arial"/>
                <w:bCs/>
              </w:rPr>
            </w:pPr>
          </w:p>
          <w:p w14:paraId="6DB9425A" w14:textId="77777777" w:rsidR="008D2342" w:rsidRPr="008F4D73" w:rsidRDefault="008D2342" w:rsidP="00FC43AA">
            <w:pPr>
              <w:numPr>
                <w:ilvl w:val="0"/>
                <w:numId w:val="37"/>
              </w:numPr>
              <w:tabs>
                <w:tab w:val="left" w:pos="7513"/>
              </w:tabs>
              <w:spacing w:line="276" w:lineRule="auto"/>
              <w:ind w:left="720" w:hanging="360"/>
              <w:jc w:val="center"/>
              <w:rPr>
                <w:rFonts w:ascii="Arial" w:hAnsi="Arial" w:cs="Arial"/>
                <w:b/>
                <w:bCs/>
              </w:rPr>
            </w:pPr>
            <w:r w:rsidRPr="008F4D73">
              <w:rPr>
                <w:rFonts w:ascii="Arial" w:hAnsi="Arial" w:cs="Arial"/>
                <w:b/>
                <w:bCs/>
              </w:rPr>
              <w:t>HECHOS</w:t>
            </w:r>
          </w:p>
          <w:p w14:paraId="773360DE" w14:textId="77777777" w:rsidR="008D2342" w:rsidRPr="008F4D73" w:rsidRDefault="008D2342" w:rsidP="008D2342">
            <w:pPr>
              <w:tabs>
                <w:tab w:val="left" w:pos="7513"/>
              </w:tabs>
              <w:spacing w:line="276" w:lineRule="auto"/>
              <w:jc w:val="both"/>
              <w:rPr>
                <w:rFonts w:ascii="Arial" w:hAnsi="Arial" w:cs="Arial"/>
                <w:b/>
                <w:bCs/>
              </w:rPr>
            </w:pPr>
          </w:p>
          <w:p w14:paraId="09180D54" w14:textId="680A7968" w:rsidR="008D2342" w:rsidRPr="008F4D73" w:rsidRDefault="008D2342" w:rsidP="008D2342">
            <w:pPr>
              <w:tabs>
                <w:tab w:val="left" w:pos="7513"/>
              </w:tabs>
              <w:spacing w:line="276" w:lineRule="auto"/>
              <w:jc w:val="both"/>
              <w:rPr>
                <w:rFonts w:ascii="Arial" w:hAnsi="Arial" w:cs="Arial"/>
              </w:rPr>
            </w:pPr>
            <w:r w:rsidRPr="008F4D73">
              <w:rPr>
                <w:rFonts w:ascii="Arial" w:hAnsi="Arial" w:cs="Arial"/>
              </w:rPr>
              <w:t>Se procede a su tra</w:t>
            </w:r>
            <w:r w:rsidR="0070008A" w:rsidRPr="008F4D73">
              <w:rPr>
                <w:rFonts w:ascii="Arial" w:hAnsi="Arial" w:cs="Arial"/>
              </w:rPr>
              <w:t>n</w:t>
            </w:r>
            <w:r w:rsidRPr="008F4D73">
              <w:rPr>
                <w:rFonts w:ascii="Arial" w:hAnsi="Arial" w:cs="Arial"/>
              </w:rPr>
              <w:t>scripción:</w:t>
            </w:r>
          </w:p>
          <w:p w14:paraId="7AC3F98C" w14:textId="77777777" w:rsidR="008D2342" w:rsidRPr="008F4D73" w:rsidRDefault="008D2342" w:rsidP="008D2342">
            <w:pPr>
              <w:spacing w:line="276" w:lineRule="auto"/>
              <w:jc w:val="both"/>
              <w:rPr>
                <w:rFonts w:ascii="Arial" w:hAnsi="Arial" w:cs="Arial"/>
                <w:b/>
                <w:bCs/>
              </w:rPr>
            </w:pPr>
          </w:p>
          <w:p w14:paraId="579DBA6A" w14:textId="77777777" w:rsidR="00FC43AA" w:rsidRPr="008F4D73" w:rsidRDefault="00F72765" w:rsidP="00FC43AA">
            <w:pPr>
              <w:jc w:val="both"/>
              <w:rPr>
                <w:rFonts w:ascii="Arial" w:eastAsiaTheme="minorHAnsi" w:hAnsi="Arial" w:cs="Arial"/>
                <w:i/>
                <w:iCs/>
                <w:color w:val="000000"/>
                <w:lang w:val="es-CO" w:eastAsia="en-US"/>
              </w:rPr>
            </w:pPr>
            <w:r w:rsidRPr="008F4D73">
              <w:rPr>
                <w:rFonts w:ascii="Arial" w:eastAsiaTheme="minorHAnsi" w:hAnsi="Arial" w:cs="Arial"/>
                <w:b/>
                <w:bCs/>
                <w:i/>
                <w:color w:val="000000"/>
                <w:lang w:eastAsia="en-US"/>
              </w:rPr>
              <w:t>“[</w:t>
            </w:r>
            <w:r w:rsidR="00FC43AA" w:rsidRPr="008F4D73">
              <w:rPr>
                <w:rFonts w:ascii="Arial" w:eastAsiaTheme="minorHAnsi" w:hAnsi="Arial" w:cs="Arial"/>
                <w:b/>
                <w:bCs/>
                <w:i/>
                <w:iCs/>
                <w:color w:val="000000"/>
                <w:lang w:val="es-CO" w:eastAsia="en-US"/>
              </w:rPr>
              <w:t xml:space="preserve">PRIMERO. </w:t>
            </w:r>
            <w:r w:rsidR="00FC43AA" w:rsidRPr="008F4D73">
              <w:rPr>
                <w:rFonts w:ascii="Arial" w:eastAsiaTheme="minorHAnsi" w:hAnsi="Arial" w:cs="Arial"/>
                <w:i/>
                <w:iCs/>
                <w:color w:val="000000"/>
                <w:lang w:val="es-CO" w:eastAsia="en-US"/>
              </w:rPr>
              <w:t xml:space="preserve">Los señores LUIS ARMANDO BELEÑO GIRALDO y LYDIA DA MOTA, son esposos, residen en Carignan-de-Bordeaux, Francia. El señor Beleño es de nacionalidad colombiana, sin embargo, emigró del país a la edad de nueve años, pero desde muy pequeño siempre soñó con regresar algún día y construir una vida en su país natal, su mayor anhelo era convertirse en propietario en Colombia, recuperar ese vínculo con su tierra y, en el futuro al llegar a la edad de jubilación, poder vivir allí con su familia y que sus hijos tuvieran un punto de referencia en el país de su padre. La señora Lydia es de nacionalidad francesa y trabaja en un laboratorio farmacéutico en dicho país. Los esposos a la fecha tienen cuatro hijos menores de edad. </w:t>
            </w:r>
          </w:p>
          <w:p w14:paraId="5F5EF262" w14:textId="77777777" w:rsidR="00FC43AA" w:rsidRPr="008F4D73" w:rsidRDefault="00FC43AA" w:rsidP="00FC43AA">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b/>
                <w:bCs/>
                <w:i/>
                <w:iCs/>
                <w:color w:val="000000"/>
                <w:lang w:val="es-CO" w:eastAsia="en-US"/>
              </w:rPr>
              <w:t xml:space="preserve">SEGUNDO. </w:t>
            </w:r>
            <w:r w:rsidRPr="008F4D73">
              <w:rPr>
                <w:rFonts w:ascii="Arial" w:eastAsiaTheme="minorHAnsi" w:hAnsi="Arial" w:cs="Arial"/>
                <w:i/>
                <w:iCs/>
                <w:color w:val="000000"/>
                <w:lang w:val="es-CO" w:eastAsia="en-US"/>
              </w:rPr>
              <w:t xml:space="preserve">En el año 2023 los esposos decidieron realizar la inversión de sus sueños, para ello, solicitaron un crédito hipotecario en Francia destinado a la adquisición de un inmueble, </w:t>
            </w:r>
            <w:r w:rsidRPr="008F4D73">
              <w:rPr>
                <w:rFonts w:ascii="Arial" w:eastAsiaTheme="minorHAnsi" w:hAnsi="Arial" w:cs="Arial"/>
                <w:i/>
                <w:iCs/>
                <w:color w:val="000000"/>
                <w:lang w:val="es-CO" w:eastAsia="en-US"/>
              </w:rPr>
              <w:lastRenderedPageBreak/>
              <w:t xml:space="preserve">sumado a los ahorros de toda una vida de trabajo. Los esposos iniciaron la búsqueda del inmueble a través </w:t>
            </w:r>
          </w:p>
          <w:p w14:paraId="58858DE4" w14:textId="77777777" w:rsidR="00FC43AA" w:rsidRPr="00FC43AA" w:rsidRDefault="00FC43AA" w:rsidP="00FC43AA">
            <w:pPr>
              <w:numPr>
                <w:ilvl w:val="1"/>
                <w:numId w:val="37"/>
              </w:numPr>
              <w:autoSpaceDE w:val="0"/>
              <w:autoSpaceDN w:val="0"/>
              <w:adjustRightInd w:val="0"/>
              <w:jc w:val="both"/>
              <w:rPr>
                <w:rFonts w:ascii="Arial" w:eastAsiaTheme="minorHAnsi" w:hAnsi="Arial" w:cs="Arial"/>
                <w:i/>
                <w:iCs/>
                <w:color w:val="000000"/>
                <w:lang w:val="es-CO" w:eastAsia="en-US"/>
              </w:rPr>
            </w:pPr>
            <w:r w:rsidRPr="00FC43AA">
              <w:rPr>
                <w:rFonts w:ascii="Arial" w:eastAsiaTheme="minorHAnsi" w:hAnsi="Arial" w:cs="Arial"/>
                <w:i/>
                <w:iCs/>
                <w:color w:val="000000"/>
                <w:lang w:val="es-CO" w:eastAsia="en-US"/>
              </w:rPr>
              <w:t xml:space="preserve">Mediante las anotaciones No. 24 y 25, de fecha 12 de octubre de 2021, se registró el Oficio No. 72861 del 6 de octubre de 2021, expedido por la </w:t>
            </w:r>
            <w:r w:rsidRPr="00FC43AA">
              <w:rPr>
                <w:rFonts w:ascii="Arial" w:eastAsiaTheme="minorHAnsi" w:hAnsi="Arial" w:cs="Arial"/>
                <w:b/>
                <w:bCs/>
                <w:i/>
                <w:iCs/>
                <w:color w:val="000000"/>
                <w:lang w:val="es-CO" w:eastAsia="en-US"/>
              </w:rPr>
              <w:t xml:space="preserve">FISCALÍA GENERAL DE LA </w:t>
            </w:r>
          </w:p>
          <w:p w14:paraId="16A13A13" w14:textId="77777777" w:rsidR="00FC43AA" w:rsidRPr="00FC43AA" w:rsidRDefault="00FC43AA" w:rsidP="00FC43AA">
            <w:pPr>
              <w:numPr>
                <w:ilvl w:val="1"/>
                <w:numId w:val="37"/>
              </w:numPr>
              <w:autoSpaceDE w:val="0"/>
              <w:autoSpaceDN w:val="0"/>
              <w:adjustRightInd w:val="0"/>
              <w:jc w:val="both"/>
              <w:rPr>
                <w:rFonts w:ascii="Arial" w:eastAsiaTheme="minorHAnsi" w:hAnsi="Arial" w:cs="Arial"/>
                <w:i/>
                <w:iCs/>
                <w:color w:val="000000"/>
                <w:lang w:val="es-CO" w:eastAsia="en-US"/>
              </w:rPr>
            </w:pPr>
          </w:p>
          <w:p w14:paraId="423DA100" w14:textId="77777777" w:rsidR="00FC43AA" w:rsidRPr="00FC43AA" w:rsidRDefault="00FC43AA" w:rsidP="00FC43AA">
            <w:pPr>
              <w:autoSpaceDE w:val="0"/>
              <w:autoSpaceDN w:val="0"/>
              <w:adjustRightInd w:val="0"/>
              <w:jc w:val="both"/>
              <w:rPr>
                <w:rFonts w:ascii="Arial" w:eastAsiaTheme="minorHAnsi" w:hAnsi="Arial" w:cs="Arial"/>
                <w:i/>
                <w:iCs/>
                <w:color w:val="000000"/>
                <w:lang w:val="es-CO" w:eastAsia="en-US"/>
              </w:rPr>
            </w:pPr>
            <w:r w:rsidRPr="00FC43AA">
              <w:rPr>
                <w:rFonts w:ascii="Arial" w:eastAsiaTheme="minorHAnsi" w:hAnsi="Arial" w:cs="Arial"/>
                <w:i/>
                <w:iCs/>
                <w:color w:val="000000"/>
                <w:lang w:val="es-CO" w:eastAsia="en-US"/>
              </w:rPr>
              <w:t xml:space="preserve">de un familiar lejano del señor Beleño, llamado Don Jairo, quien los orientó respecto de en qué sectores de Medellín podían iniciar la búsqueda. </w:t>
            </w:r>
          </w:p>
          <w:p w14:paraId="51565C62" w14:textId="77777777" w:rsidR="00FC43AA" w:rsidRPr="00FC43AA" w:rsidRDefault="00FC43AA" w:rsidP="00FC43AA">
            <w:pPr>
              <w:autoSpaceDE w:val="0"/>
              <w:autoSpaceDN w:val="0"/>
              <w:adjustRightInd w:val="0"/>
              <w:jc w:val="both"/>
              <w:rPr>
                <w:rFonts w:ascii="Arial" w:eastAsiaTheme="minorHAnsi" w:hAnsi="Arial" w:cs="Arial"/>
                <w:i/>
                <w:iCs/>
                <w:color w:val="000000"/>
                <w:lang w:val="es-CO" w:eastAsia="en-US"/>
              </w:rPr>
            </w:pPr>
            <w:r w:rsidRPr="00FC43AA">
              <w:rPr>
                <w:rFonts w:ascii="Arial" w:eastAsiaTheme="minorHAnsi" w:hAnsi="Arial" w:cs="Arial"/>
                <w:b/>
                <w:bCs/>
                <w:i/>
                <w:iCs/>
                <w:color w:val="000000"/>
                <w:lang w:val="es-CO" w:eastAsia="en-US"/>
              </w:rPr>
              <w:t xml:space="preserve">TERCERO. </w:t>
            </w:r>
            <w:r w:rsidRPr="00FC43AA">
              <w:rPr>
                <w:rFonts w:ascii="Arial" w:eastAsiaTheme="minorHAnsi" w:hAnsi="Arial" w:cs="Arial"/>
                <w:i/>
                <w:iCs/>
                <w:color w:val="000000"/>
                <w:lang w:val="es-CO" w:eastAsia="en-US"/>
              </w:rPr>
              <w:t xml:space="preserve">Luego de visitar varios inmuebles en la ciudad, los demandantes ubicaron un inmueble localizado en la carrera 72A No. 45E-51, Urbanización Florida Nueva – Fracción La América del municipio de Medellín, el cual tenía en sus ventanas avisos de “se vende”. Al contactarse con los números anunciados en los avisos, fueron atendidos por el señor DANILO CARDONA FERRO, identificado con CC. 4.516.317, quien se presentó como gestor inmobiliario vinculado a la Inmobiliaria DACAF y único propietario inscrito del inmueble. </w:t>
            </w:r>
          </w:p>
          <w:p w14:paraId="7922FE34" w14:textId="77777777" w:rsidR="00FC43AA" w:rsidRPr="00FC43AA" w:rsidRDefault="00FC43AA" w:rsidP="00FC43AA">
            <w:pPr>
              <w:autoSpaceDE w:val="0"/>
              <w:autoSpaceDN w:val="0"/>
              <w:adjustRightInd w:val="0"/>
              <w:jc w:val="both"/>
              <w:rPr>
                <w:rFonts w:ascii="Arial" w:eastAsiaTheme="minorHAnsi" w:hAnsi="Arial" w:cs="Arial"/>
                <w:i/>
                <w:iCs/>
                <w:color w:val="000000"/>
                <w:lang w:val="es-CO" w:eastAsia="en-US"/>
              </w:rPr>
            </w:pPr>
            <w:r w:rsidRPr="00FC43AA">
              <w:rPr>
                <w:rFonts w:ascii="Arial" w:eastAsiaTheme="minorHAnsi" w:hAnsi="Arial" w:cs="Arial"/>
                <w:b/>
                <w:bCs/>
                <w:i/>
                <w:iCs/>
                <w:color w:val="000000"/>
                <w:lang w:val="es-CO" w:eastAsia="en-US"/>
              </w:rPr>
              <w:t xml:space="preserve">CUARTO. </w:t>
            </w:r>
            <w:r w:rsidRPr="00FC43AA">
              <w:rPr>
                <w:rFonts w:ascii="Arial" w:eastAsiaTheme="minorHAnsi" w:hAnsi="Arial" w:cs="Arial"/>
                <w:i/>
                <w:iCs/>
                <w:color w:val="000000"/>
                <w:lang w:val="es-CO" w:eastAsia="en-US"/>
              </w:rPr>
              <w:t xml:space="preserve">El bien inmueble en mención se identifica con el folio de matrícula inmobiliaria No. 001-315387 de la Oficina de Registro de Instrumentos Públicos de Medellín – Zona Sur y corresponde a un lote de terreno que forma parte de la Manzana C de la Urbanización Florida Nueva, continuación de la Fracción La América, ubicado en la ciudad de Medellín, con un área de 306,64 varas cuadradas. Sus linderos son los siguientes: por el frente u oriente, en una longitud de 11,25 varas, con la carrera 72A; por atrás u occidente, en una longitud de 8,40 varas, con el lote No. 8; por el norte, en una longitud de 27,81 varas, con el lote No. 12; y por el sur, en parte en una longitud de 23,42 varas con el lote No. 10, y en parte en una longitud de 5,32 varas con propiedad que es o fue de Eusebio Salazar. El lote se encuentra identificado con el número 11. </w:t>
            </w:r>
          </w:p>
          <w:p w14:paraId="4E7F1297" w14:textId="77777777" w:rsidR="00FC43AA" w:rsidRPr="00FC43AA" w:rsidRDefault="00FC43AA" w:rsidP="00FC43AA">
            <w:pPr>
              <w:autoSpaceDE w:val="0"/>
              <w:autoSpaceDN w:val="0"/>
              <w:adjustRightInd w:val="0"/>
              <w:jc w:val="both"/>
              <w:rPr>
                <w:rFonts w:ascii="Arial" w:eastAsiaTheme="minorHAnsi" w:hAnsi="Arial" w:cs="Arial"/>
                <w:i/>
                <w:iCs/>
                <w:color w:val="000000"/>
                <w:lang w:val="es-CO" w:eastAsia="en-US"/>
              </w:rPr>
            </w:pPr>
            <w:r w:rsidRPr="00FC43AA">
              <w:rPr>
                <w:rFonts w:ascii="Arial" w:eastAsiaTheme="minorHAnsi" w:hAnsi="Arial" w:cs="Arial"/>
                <w:i/>
                <w:iCs/>
                <w:color w:val="000000"/>
                <w:lang w:val="es-CO" w:eastAsia="en-US"/>
              </w:rPr>
              <w:t xml:space="preserve">El inmueble cuenta con siete habitaciones, cuatro baños, tres salas, una cocina amplia con comedor, dos grandes escaleras, un garaje enorme y dos patios muy amplios, uno de ellos con sauna y zonas de descanso con tumbonas </w:t>
            </w:r>
          </w:p>
          <w:p w14:paraId="7BF914E0" w14:textId="77777777" w:rsidR="00FC43AA" w:rsidRPr="00FC43AA" w:rsidRDefault="00FC43AA" w:rsidP="00FC43AA">
            <w:pPr>
              <w:autoSpaceDE w:val="0"/>
              <w:autoSpaceDN w:val="0"/>
              <w:adjustRightInd w:val="0"/>
              <w:jc w:val="both"/>
              <w:rPr>
                <w:rFonts w:ascii="Arial" w:eastAsiaTheme="minorHAnsi" w:hAnsi="Arial" w:cs="Arial"/>
                <w:i/>
                <w:iCs/>
                <w:color w:val="000000"/>
                <w:lang w:val="es-CO" w:eastAsia="en-US"/>
              </w:rPr>
            </w:pPr>
            <w:r w:rsidRPr="00FC43AA">
              <w:rPr>
                <w:rFonts w:ascii="Arial" w:eastAsiaTheme="minorHAnsi" w:hAnsi="Arial" w:cs="Arial"/>
                <w:b/>
                <w:bCs/>
                <w:i/>
                <w:iCs/>
                <w:color w:val="000000"/>
                <w:lang w:val="es-CO" w:eastAsia="en-US"/>
              </w:rPr>
              <w:t xml:space="preserve">QUINTO. </w:t>
            </w:r>
            <w:r w:rsidRPr="00FC43AA">
              <w:rPr>
                <w:rFonts w:ascii="Arial" w:eastAsiaTheme="minorHAnsi" w:hAnsi="Arial" w:cs="Arial"/>
                <w:i/>
                <w:iCs/>
                <w:color w:val="000000"/>
                <w:lang w:val="es-CO" w:eastAsia="en-US"/>
              </w:rPr>
              <w:t xml:space="preserve">De conformidad con el certificado de tradición y libertad expedido por la Oficina de Registro de Instrumentos Públicos de Medellín – Zona Sur, </w:t>
            </w:r>
            <w:r w:rsidRPr="00FC43AA">
              <w:rPr>
                <w:rFonts w:ascii="Arial" w:eastAsiaTheme="minorHAnsi" w:hAnsi="Arial" w:cs="Arial"/>
                <w:b/>
                <w:bCs/>
                <w:i/>
                <w:iCs/>
                <w:color w:val="000000"/>
                <w:lang w:val="es-CO" w:eastAsia="en-US"/>
              </w:rPr>
              <w:t>el inmueble figuraba libre de gravámenes y como de propiedad del señor Danilo Cardona Ferro</w:t>
            </w:r>
            <w:r w:rsidRPr="00FC43AA">
              <w:rPr>
                <w:rFonts w:ascii="Arial" w:eastAsiaTheme="minorHAnsi" w:hAnsi="Arial" w:cs="Arial"/>
                <w:i/>
                <w:iCs/>
                <w:color w:val="000000"/>
                <w:lang w:val="es-CO" w:eastAsia="en-US"/>
              </w:rPr>
              <w:t xml:space="preserve">. En consecuencia, se trataba de un bien que, según la información registral vigente certificada por la Superintendencia de Notariado y Registro, se encontraba dentro del comercio y era jurídicamente apto para su adquisición mediante contrato de compraventa. </w:t>
            </w:r>
          </w:p>
          <w:p w14:paraId="1C7BB13C" w14:textId="1DA2D667" w:rsidR="00FC43AA" w:rsidRPr="008F4D73" w:rsidRDefault="00FC43AA" w:rsidP="00FC43AA">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b/>
                <w:bCs/>
                <w:i/>
                <w:iCs/>
                <w:color w:val="000000"/>
                <w:lang w:val="es-CO" w:eastAsia="en-US"/>
              </w:rPr>
              <w:t xml:space="preserve">SEXTO. </w:t>
            </w:r>
            <w:r w:rsidRPr="008F4D73">
              <w:rPr>
                <w:rFonts w:ascii="Arial" w:eastAsiaTheme="minorHAnsi" w:hAnsi="Arial" w:cs="Arial"/>
                <w:i/>
                <w:iCs/>
                <w:color w:val="000000"/>
                <w:lang w:val="es-CO" w:eastAsia="en-US"/>
              </w:rPr>
              <w:t xml:space="preserve">Para el momento de la celebración del referido negocio jurídico, dicho certificado, amparado por la fe pública registral de la </w:t>
            </w:r>
            <w:r w:rsidRPr="008F4D73">
              <w:rPr>
                <w:rFonts w:ascii="Arial" w:eastAsiaTheme="minorHAnsi" w:hAnsi="Arial" w:cs="Arial"/>
                <w:b/>
                <w:bCs/>
                <w:i/>
                <w:iCs/>
                <w:color w:val="000000"/>
                <w:lang w:val="es-CO" w:eastAsia="en-US"/>
              </w:rPr>
              <w:t>SUPERINTENCIA DE NOTARIADO Y REGISTRO</w:t>
            </w:r>
            <w:r w:rsidRPr="008F4D73">
              <w:rPr>
                <w:rFonts w:ascii="Arial" w:eastAsiaTheme="minorHAnsi" w:hAnsi="Arial" w:cs="Arial"/>
                <w:i/>
                <w:iCs/>
                <w:color w:val="000000"/>
                <w:lang w:val="es-CO" w:eastAsia="en-US"/>
              </w:rPr>
              <w:t>, daba cuenta de los siguientes hechos:</w:t>
            </w:r>
          </w:p>
          <w:p w14:paraId="5259E512" w14:textId="77777777" w:rsidR="00FC43AA" w:rsidRPr="00FC43AA" w:rsidRDefault="00FC43AA" w:rsidP="00FC43AA">
            <w:pPr>
              <w:autoSpaceDE w:val="0"/>
              <w:autoSpaceDN w:val="0"/>
              <w:adjustRightInd w:val="0"/>
              <w:jc w:val="both"/>
              <w:rPr>
                <w:rFonts w:ascii="Arial" w:eastAsiaTheme="minorHAnsi" w:hAnsi="Arial" w:cs="Arial"/>
                <w:i/>
                <w:iCs/>
                <w:color w:val="000000"/>
                <w:lang w:val="es-CO" w:eastAsia="en-US"/>
              </w:rPr>
            </w:pPr>
          </w:p>
          <w:p w14:paraId="312B3F09" w14:textId="2B41F064" w:rsidR="00FC43AA" w:rsidRPr="008F4D73" w:rsidRDefault="00FC43AA" w:rsidP="00FC43AA">
            <w:pPr>
              <w:rPr>
                <w:rFonts w:ascii="Arial" w:eastAsiaTheme="minorHAnsi" w:hAnsi="Arial" w:cs="Arial"/>
                <w:color w:val="000000"/>
                <w:lang w:val="es-CO" w:eastAsia="en-US"/>
              </w:rPr>
            </w:pPr>
            <w:r w:rsidRPr="008F4D73">
              <w:rPr>
                <w:rFonts w:ascii="Arial" w:eastAsiaTheme="minorHAnsi" w:hAnsi="Arial" w:cs="Arial"/>
                <w:i/>
                <w:iCs/>
                <w:color w:val="000000"/>
                <w:lang w:val="es-CO" w:eastAsia="en-US"/>
              </w:rPr>
              <w:t xml:space="preserve">6.1. </w:t>
            </w:r>
            <w:r w:rsidRPr="00FC43AA">
              <w:rPr>
                <w:rFonts w:ascii="Arial" w:eastAsiaTheme="minorHAnsi" w:hAnsi="Arial" w:cs="Arial"/>
                <w:i/>
                <w:iCs/>
                <w:color w:val="000000"/>
                <w:lang w:val="es-CO" w:eastAsia="en-US"/>
              </w:rPr>
              <w:t xml:space="preserve">Mediante las anotaciones No. 24 y 25, de fecha 12 de octubre de 2021, se registró el Oficio No. 72861 del 6 de octubre de 2021, expedido por la </w:t>
            </w:r>
            <w:r w:rsidRPr="00FC43AA">
              <w:rPr>
                <w:rFonts w:ascii="Arial" w:eastAsiaTheme="minorHAnsi" w:hAnsi="Arial" w:cs="Arial"/>
                <w:b/>
                <w:bCs/>
                <w:i/>
                <w:iCs/>
                <w:color w:val="000000"/>
                <w:lang w:val="es-CO" w:eastAsia="en-US"/>
              </w:rPr>
              <w:t>FISCALÍA GENERAL DE LA</w:t>
            </w:r>
            <w:r w:rsidRPr="008F4D73">
              <w:rPr>
                <w:rFonts w:ascii="Arial" w:eastAsiaTheme="minorHAnsi" w:hAnsi="Arial" w:cs="Arial"/>
                <w:b/>
                <w:bCs/>
                <w:i/>
                <w:iCs/>
                <w:color w:val="000000"/>
                <w:lang w:val="es-CO" w:eastAsia="en-US"/>
              </w:rPr>
              <w:t xml:space="preserve"> </w:t>
            </w:r>
          </w:p>
          <w:p w14:paraId="631E1150" w14:textId="77777777" w:rsidR="00FC43AA" w:rsidRPr="00FC43AA" w:rsidRDefault="00FC43AA" w:rsidP="00FC43AA">
            <w:pPr>
              <w:autoSpaceDE w:val="0"/>
              <w:autoSpaceDN w:val="0"/>
              <w:adjustRightInd w:val="0"/>
              <w:jc w:val="both"/>
              <w:rPr>
                <w:rFonts w:ascii="Arial" w:eastAsiaTheme="minorHAnsi" w:hAnsi="Arial" w:cs="Arial"/>
                <w:i/>
                <w:iCs/>
                <w:color w:val="000000"/>
                <w:lang w:val="es-CO" w:eastAsia="en-US"/>
              </w:rPr>
            </w:pPr>
            <w:r w:rsidRPr="00FC43AA">
              <w:rPr>
                <w:rFonts w:ascii="Arial" w:eastAsiaTheme="minorHAnsi" w:hAnsi="Arial" w:cs="Arial"/>
                <w:b/>
                <w:bCs/>
                <w:i/>
                <w:iCs/>
                <w:color w:val="000000"/>
                <w:lang w:val="es-CO" w:eastAsia="en-US"/>
              </w:rPr>
              <w:lastRenderedPageBreak/>
              <w:t>NACIÓN</w:t>
            </w:r>
            <w:r w:rsidRPr="00FC43AA">
              <w:rPr>
                <w:rFonts w:ascii="Arial" w:eastAsiaTheme="minorHAnsi" w:hAnsi="Arial" w:cs="Arial"/>
                <w:i/>
                <w:iCs/>
                <w:color w:val="000000"/>
                <w:lang w:val="es-CO" w:eastAsia="en-US"/>
              </w:rPr>
              <w:t xml:space="preserve">, a través del cual se dispuso, como medida cautelar dentro de un proceso de extinción de dominio, la suspensión del poder dispositivo respecto de quien para ese momento figuraba como titular del derecho de dominio, el señor Hernán de Jesús Velásquez, así como el embargo y secuestro del inmueble: </w:t>
            </w:r>
          </w:p>
          <w:p w14:paraId="138B0A20" w14:textId="1BE0BE99" w:rsidR="00FC43AA" w:rsidRPr="00FC43AA" w:rsidRDefault="00FC43AA" w:rsidP="00FC43AA">
            <w:pPr>
              <w:autoSpaceDE w:val="0"/>
              <w:autoSpaceDN w:val="0"/>
              <w:adjustRightInd w:val="0"/>
              <w:rPr>
                <w:rFonts w:ascii="Arial" w:eastAsiaTheme="minorHAnsi" w:hAnsi="Arial" w:cs="Arial"/>
                <w:color w:val="000000"/>
                <w:lang w:val="es-CO" w:eastAsia="en-US"/>
              </w:rPr>
            </w:pPr>
            <w:r w:rsidRPr="008F4D73">
              <w:rPr>
                <w:rFonts w:ascii="Arial" w:eastAsiaTheme="minorHAnsi" w:hAnsi="Arial" w:cs="Arial"/>
                <w:noProof/>
                <w:color w:val="000000"/>
                <w:lang w:val="es-CO" w:eastAsia="es-CO"/>
              </w:rPr>
              <w:drawing>
                <wp:inline distT="0" distB="0" distL="0" distR="0" wp14:anchorId="783D1AE4" wp14:editId="39E1860F">
                  <wp:extent cx="6113780" cy="2774950"/>
                  <wp:effectExtent l="0" t="0" r="1270" b="6350"/>
                  <wp:docPr id="194044326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3780" cy="2774950"/>
                          </a:xfrm>
                          <a:prstGeom prst="rect">
                            <a:avLst/>
                          </a:prstGeom>
                          <a:noFill/>
                          <a:ln>
                            <a:noFill/>
                          </a:ln>
                        </pic:spPr>
                      </pic:pic>
                    </a:graphicData>
                  </a:graphic>
                </wp:inline>
              </w:drawing>
            </w:r>
          </w:p>
          <w:p w14:paraId="5DB5C385" w14:textId="58101BDB" w:rsidR="00FC43AA" w:rsidRPr="00FC43AA" w:rsidRDefault="00FC43AA" w:rsidP="00FC43AA">
            <w:pPr>
              <w:numPr>
                <w:ilvl w:val="1"/>
                <w:numId w:val="37"/>
              </w:numPr>
              <w:autoSpaceDE w:val="0"/>
              <w:autoSpaceDN w:val="0"/>
              <w:adjustRightInd w:val="0"/>
              <w:jc w:val="both"/>
              <w:rPr>
                <w:rFonts w:ascii="Arial" w:eastAsiaTheme="minorHAnsi" w:hAnsi="Arial" w:cs="Arial"/>
                <w:i/>
                <w:iCs/>
                <w:color w:val="000000"/>
                <w:lang w:val="es-CO" w:eastAsia="en-US"/>
              </w:rPr>
            </w:pPr>
            <w:r w:rsidRPr="00FC43AA">
              <w:rPr>
                <w:rFonts w:ascii="Arial" w:eastAsiaTheme="minorHAnsi" w:hAnsi="Arial" w:cs="Arial"/>
                <w:b/>
                <w:bCs/>
                <w:i/>
                <w:iCs/>
                <w:color w:val="000000"/>
                <w:lang w:val="es-CO" w:eastAsia="en-US"/>
              </w:rPr>
              <w:t xml:space="preserve"> </w:t>
            </w:r>
          </w:p>
          <w:p w14:paraId="10A21024" w14:textId="77777777" w:rsidR="00FC43AA" w:rsidRPr="00FC43AA" w:rsidRDefault="00FC43AA" w:rsidP="00FC43AA">
            <w:pPr>
              <w:autoSpaceDE w:val="0"/>
              <w:autoSpaceDN w:val="0"/>
              <w:adjustRightInd w:val="0"/>
              <w:rPr>
                <w:rFonts w:ascii="Arial" w:eastAsiaTheme="minorHAnsi" w:hAnsi="Arial" w:cs="Arial"/>
                <w:color w:val="000000"/>
                <w:lang w:val="es-CO" w:eastAsia="en-US"/>
              </w:rPr>
            </w:pPr>
          </w:p>
          <w:p w14:paraId="3451E02A" w14:textId="47DC17D0" w:rsidR="00FC43AA" w:rsidRPr="00FC43AA" w:rsidRDefault="00FC43AA" w:rsidP="00FC43AA">
            <w:pPr>
              <w:numPr>
                <w:ilvl w:val="1"/>
                <w:numId w:val="37"/>
              </w:numPr>
              <w:autoSpaceDE w:val="0"/>
              <w:autoSpaceDN w:val="0"/>
              <w:adjustRightInd w:val="0"/>
              <w:rPr>
                <w:rFonts w:ascii="Arial" w:eastAsiaTheme="minorHAnsi" w:hAnsi="Arial" w:cs="Arial"/>
                <w:i/>
                <w:iCs/>
                <w:color w:val="000000"/>
                <w:lang w:val="es-CO" w:eastAsia="en-US"/>
              </w:rPr>
            </w:pPr>
            <w:r w:rsidRPr="008F4D73">
              <w:rPr>
                <w:rFonts w:ascii="Arial" w:eastAsiaTheme="minorHAnsi" w:hAnsi="Arial" w:cs="Arial"/>
                <w:i/>
                <w:iCs/>
                <w:color w:val="000000"/>
                <w:lang w:val="es-CO" w:eastAsia="en-US"/>
              </w:rPr>
              <w:t xml:space="preserve">6.2. </w:t>
            </w:r>
            <w:r w:rsidRPr="00FC43AA">
              <w:rPr>
                <w:rFonts w:ascii="Arial" w:eastAsiaTheme="minorHAnsi" w:hAnsi="Arial" w:cs="Arial"/>
                <w:i/>
                <w:iCs/>
                <w:color w:val="000000"/>
                <w:lang w:val="es-CO" w:eastAsia="en-US"/>
              </w:rPr>
              <w:t xml:space="preserve">Mediante la anotación No. 26, de fecha 5 de mayo de 2022, se registró la Resolución No. 0045 del 18 de enero de 2022, expedida por la </w:t>
            </w:r>
            <w:r w:rsidRPr="00FC43AA">
              <w:rPr>
                <w:rFonts w:ascii="Arial" w:eastAsiaTheme="minorHAnsi" w:hAnsi="Arial" w:cs="Arial"/>
                <w:b/>
                <w:bCs/>
                <w:i/>
                <w:iCs/>
                <w:color w:val="000000"/>
                <w:lang w:val="es-CO" w:eastAsia="en-US"/>
              </w:rPr>
              <w:t>SOCIEDAD DE ACTIVOS ESPECIALES S.A.S</w:t>
            </w:r>
            <w:r w:rsidRPr="00FC43AA">
              <w:rPr>
                <w:rFonts w:ascii="Arial" w:eastAsiaTheme="minorHAnsi" w:hAnsi="Arial" w:cs="Arial"/>
                <w:i/>
                <w:iCs/>
                <w:color w:val="000000"/>
                <w:lang w:val="es-CO" w:eastAsia="en-US"/>
              </w:rPr>
              <w:t xml:space="preserve">., a través de la cual se dispuso el depósito provisional del inmueble a favor de </w:t>
            </w:r>
            <w:r w:rsidRPr="00FC43AA">
              <w:rPr>
                <w:rFonts w:ascii="Arial" w:eastAsiaTheme="minorHAnsi" w:hAnsi="Arial" w:cs="Arial"/>
                <w:b/>
                <w:bCs/>
                <w:i/>
                <w:iCs/>
                <w:color w:val="000000"/>
                <w:lang w:val="es-CO" w:eastAsia="en-US"/>
              </w:rPr>
              <w:t xml:space="preserve">CÁCERES Y FERRO FINCA RAÍZ S.A.: </w:t>
            </w:r>
          </w:p>
          <w:p w14:paraId="44116FBE" w14:textId="77777777" w:rsidR="00FC43AA" w:rsidRPr="00FC43AA" w:rsidRDefault="00FC43AA" w:rsidP="00FC43AA">
            <w:pPr>
              <w:numPr>
                <w:ilvl w:val="1"/>
                <w:numId w:val="37"/>
              </w:numPr>
              <w:autoSpaceDE w:val="0"/>
              <w:autoSpaceDN w:val="0"/>
              <w:adjustRightInd w:val="0"/>
              <w:rPr>
                <w:rFonts w:ascii="Arial" w:eastAsiaTheme="minorHAnsi" w:hAnsi="Arial" w:cs="Arial"/>
                <w:color w:val="000000"/>
                <w:lang w:val="es-CO" w:eastAsia="en-US"/>
              </w:rPr>
            </w:pPr>
          </w:p>
          <w:p w14:paraId="211AB94F" w14:textId="12497C79" w:rsidR="00FC43AA" w:rsidRPr="00FC43AA" w:rsidRDefault="00FC43AA" w:rsidP="00FC43AA">
            <w:pPr>
              <w:numPr>
                <w:ilvl w:val="1"/>
                <w:numId w:val="37"/>
              </w:num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i/>
                <w:iCs/>
                <w:noProof/>
                <w:color w:val="000000"/>
                <w:lang w:val="es-CO" w:eastAsia="es-CO"/>
              </w:rPr>
              <w:drawing>
                <wp:inline distT="0" distB="0" distL="0" distR="0" wp14:anchorId="4F52866B" wp14:editId="47794499">
                  <wp:extent cx="6122670" cy="1583690"/>
                  <wp:effectExtent l="0" t="0" r="0" b="0"/>
                  <wp:docPr id="207317411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2670" cy="1583690"/>
                          </a:xfrm>
                          <a:prstGeom prst="rect">
                            <a:avLst/>
                          </a:prstGeom>
                          <a:noFill/>
                          <a:ln>
                            <a:noFill/>
                          </a:ln>
                        </pic:spPr>
                      </pic:pic>
                    </a:graphicData>
                  </a:graphic>
                </wp:inline>
              </w:drawing>
            </w:r>
          </w:p>
          <w:p w14:paraId="64B2DB38" w14:textId="77777777" w:rsidR="00FC43AA" w:rsidRPr="008F4D73" w:rsidRDefault="00FC43AA" w:rsidP="00FC43AA">
            <w:pPr>
              <w:autoSpaceDE w:val="0"/>
              <w:autoSpaceDN w:val="0"/>
              <w:adjustRightInd w:val="0"/>
              <w:jc w:val="both"/>
              <w:rPr>
                <w:rFonts w:ascii="Arial" w:eastAsiaTheme="minorHAnsi" w:hAnsi="Arial" w:cs="Arial"/>
                <w:i/>
                <w:iCs/>
                <w:color w:val="000000"/>
                <w:lang w:val="es-CO" w:eastAsia="en-US"/>
              </w:rPr>
            </w:pPr>
          </w:p>
          <w:p w14:paraId="576F52AD" w14:textId="77777777" w:rsidR="00FC43AA" w:rsidRPr="00FC43AA" w:rsidRDefault="00FC43AA" w:rsidP="00FC43AA">
            <w:pPr>
              <w:autoSpaceDE w:val="0"/>
              <w:autoSpaceDN w:val="0"/>
              <w:adjustRightInd w:val="0"/>
              <w:jc w:val="both"/>
              <w:rPr>
                <w:rFonts w:ascii="Arial" w:eastAsiaTheme="minorHAnsi" w:hAnsi="Arial" w:cs="Arial"/>
                <w:i/>
                <w:color w:val="000000"/>
                <w:lang w:val="es-CO" w:eastAsia="en-US"/>
              </w:rPr>
            </w:pPr>
          </w:p>
          <w:p w14:paraId="64C3A73D" w14:textId="5D750E37" w:rsidR="00FC43AA" w:rsidRPr="00FC43AA" w:rsidRDefault="00FC43AA" w:rsidP="00FC43AA">
            <w:pPr>
              <w:numPr>
                <w:ilvl w:val="1"/>
                <w:numId w:val="37"/>
              </w:num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i/>
                <w:color w:val="000000"/>
                <w:lang w:val="es-CO" w:eastAsia="en-US"/>
              </w:rPr>
              <w:lastRenderedPageBreak/>
              <w:t xml:space="preserve">6.3. </w:t>
            </w:r>
            <w:r w:rsidRPr="00FC43AA">
              <w:rPr>
                <w:rFonts w:ascii="Arial" w:eastAsiaTheme="minorHAnsi" w:hAnsi="Arial" w:cs="Arial"/>
                <w:i/>
                <w:color w:val="000000"/>
                <w:lang w:val="es-CO" w:eastAsia="en-US"/>
              </w:rPr>
              <w:t xml:space="preserve">Mediante la anotación No. 27, de fecha 29 de junio de 2022, se registró la Resolución No. 887 del 16 de junio de 2022, expedida por la </w:t>
            </w:r>
            <w:r w:rsidRPr="00FC43AA">
              <w:rPr>
                <w:rFonts w:ascii="Arial" w:eastAsiaTheme="minorHAnsi" w:hAnsi="Arial" w:cs="Arial"/>
                <w:b/>
                <w:bCs/>
                <w:i/>
                <w:color w:val="000000"/>
                <w:lang w:val="es-CO" w:eastAsia="en-US"/>
              </w:rPr>
              <w:t>SOCIEDAD DE ACTIVOS ESPECIALES S.A.S.</w:t>
            </w:r>
            <w:r w:rsidRPr="00FC43AA">
              <w:rPr>
                <w:rFonts w:ascii="Arial" w:eastAsiaTheme="minorHAnsi" w:hAnsi="Arial" w:cs="Arial"/>
                <w:i/>
                <w:color w:val="000000"/>
                <w:lang w:val="es-CO" w:eastAsia="en-US"/>
              </w:rPr>
              <w:t xml:space="preserve">, mediante la cual se autorizó la enajenación temprana del inmueble: </w:t>
            </w:r>
          </w:p>
          <w:p w14:paraId="40F3BAAF" w14:textId="75C77B22" w:rsidR="00FC43AA" w:rsidRPr="00FC43AA" w:rsidRDefault="00FC43AA" w:rsidP="00FC43AA">
            <w:pPr>
              <w:numPr>
                <w:ilvl w:val="1"/>
                <w:numId w:val="37"/>
              </w:num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i/>
                <w:noProof/>
                <w:color w:val="000000"/>
                <w:lang w:val="es-CO" w:eastAsia="es-CO"/>
              </w:rPr>
              <w:drawing>
                <wp:inline distT="0" distB="0" distL="0" distR="0" wp14:anchorId="342427FC" wp14:editId="7184268A">
                  <wp:extent cx="6122670" cy="1509395"/>
                  <wp:effectExtent l="0" t="0" r="0" b="0"/>
                  <wp:docPr id="12856278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670" cy="1509395"/>
                          </a:xfrm>
                          <a:prstGeom prst="rect">
                            <a:avLst/>
                          </a:prstGeom>
                          <a:noFill/>
                          <a:ln>
                            <a:noFill/>
                          </a:ln>
                        </pic:spPr>
                      </pic:pic>
                    </a:graphicData>
                  </a:graphic>
                </wp:inline>
              </w:drawing>
            </w:r>
          </w:p>
          <w:p w14:paraId="243A7AE9" w14:textId="77777777" w:rsidR="00FC43AA" w:rsidRPr="00FC43AA" w:rsidRDefault="00FC43AA" w:rsidP="00FC43AA">
            <w:pPr>
              <w:autoSpaceDE w:val="0"/>
              <w:autoSpaceDN w:val="0"/>
              <w:adjustRightInd w:val="0"/>
              <w:jc w:val="both"/>
              <w:rPr>
                <w:rFonts w:ascii="Arial" w:eastAsiaTheme="minorHAnsi" w:hAnsi="Arial" w:cs="Arial"/>
                <w:i/>
                <w:color w:val="000000"/>
                <w:lang w:val="es-CO" w:eastAsia="en-US"/>
              </w:rPr>
            </w:pPr>
          </w:p>
          <w:p w14:paraId="7289FD61" w14:textId="7780879F" w:rsidR="00FC43AA" w:rsidRPr="008F4D73" w:rsidRDefault="00FC43AA" w:rsidP="00FC43AA">
            <w:pPr>
              <w:numPr>
                <w:ilvl w:val="1"/>
                <w:numId w:val="37"/>
              </w:num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i/>
                <w:color w:val="000000"/>
                <w:lang w:val="es-CO" w:eastAsia="en-US"/>
              </w:rPr>
              <w:t xml:space="preserve">6.4. </w:t>
            </w:r>
            <w:r w:rsidRPr="00FC43AA">
              <w:rPr>
                <w:rFonts w:ascii="Arial" w:eastAsiaTheme="minorHAnsi" w:hAnsi="Arial" w:cs="Arial"/>
                <w:i/>
                <w:color w:val="000000"/>
                <w:lang w:val="es-CO" w:eastAsia="en-US"/>
              </w:rPr>
              <w:t xml:space="preserve">Mediante la anotación No. 28, de fecha 31 de julio de 2023, se registró el Oficio No. 113F-41 del 27 de julio de 2023, expedido por la </w:t>
            </w:r>
            <w:r w:rsidRPr="00FC43AA">
              <w:rPr>
                <w:rFonts w:ascii="Arial" w:eastAsiaTheme="minorHAnsi" w:hAnsi="Arial" w:cs="Arial"/>
                <w:b/>
                <w:bCs/>
                <w:i/>
                <w:color w:val="000000"/>
                <w:lang w:val="es-CO" w:eastAsia="en-US"/>
              </w:rPr>
              <w:t>FISCALÍA GENERAL DE LA NACIÓN</w:t>
            </w:r>
            <w:r w:rsidRPr="00FC43AA">
              <w:rPr>
                <w:rFonts w:ascii="Arial" w:eastAsiaTheme="minorHAnsi" w:hAnsi="Arial" w:cs="Arial"/>
                <w:i/>
                <w:color w:val="000000"/>
                <w:lang w:val="es-CO" w:eastAsia="en-US"/>
              </w:rPr>
              <w:t xml:space="preserve">, mediante el cual se dispuso la cancelación del embargo que recaía sobre el inmueble, específicamente la cancelación de la anotación No. 25: </w:t>
            </w:r>
          </w:p>
          <w:p w14:paraId="5D2F15DC" w14:textId="3E5C4EE1" w:rsidR="00FC43AA" w:rsidRPr="00FC43AA" w:rsidRDefault="00FC43AA" w:rsidP="00FC43AA">
            <w:pPr>
              <w:numPr>
                <w:ilvl w:val="1"/>
                <w:numId w:val="37"/>
              </w:num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i/>
                <w:noProof/>
                <w:color w:val="000000"/>
                <w:lang w:val="es-CO" w:eastAsia="es-CO"/>
              </w:rPr>
              <w:drawing>
                <wp:inline distT="0" distB="0" distL="0" distR="0" wp14:anchorId="3F4F685A" wp14:editId="1AE42B42">
                  <wp:extent cx="6122670" cy="1232535"/>
                  <wp:effectExtent l="0" t="0" r="0" b="5715"/>
                  <wp:docPr id="87024933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670" cy="1232535"/>
                          </a:xfrm>
                          <a:prstGeom prst="rect">
                            <a:avLst/>
                          </a:prstGeom>
                          <a:noFill/>
                          <a:ln>
                            <a:noFill/>
                          </a:ln>
                        </pic:spPr>
                      </pic:pic>
                    </a:graphicData>
                  </a:graphic>
                </wp:inline>
              </w:drawing>
            </w:r>
          </w:p>
          <w:p w14:paraId="4F044440" w14:textId="77777777" w:rsidR="00FC43AA" w:rsidRPr="00FC43AA" w:rsidRDefault="00FC43AA" w:rsidP="00FC43AA">
            <w:pPr>
              <w:autoSpaceDE w:val="0"/>
              <w:autoSpaceDN w:val="0"/>
              <w:adjustRightInd w:val="0"/>
              <w:rPr>
                <w:rFonts w:ascii="Arial" w:eastAsiaTheme="minorHAnsi" w:hAnsi="Arial" w:cs="Arial"/>
                <w:color w:val="000000"/>
                <w:lang w:val="es-CO" w:eastAsia="en-US"/>
              </w:rPr>
            </w:pPr>
          </w:p>
          <w:p w14:paraId="71BB25B0" w14:textId="37C33A8B" w:rsidR="00FC43AA" w:rsidRPr="00FC43AA" w:rsidRDefault="00FC43AA" w:rsidP="00FC43AA">
            <w:pPr>
              <w:numPr>
                <w:ilvl w:val="1"/>
                <w:numId w:val="37"/>
              </w:num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i/>
                <w:iCs/>
                <w:color w:val="000000"/>
                <w:lang w:val="es-CO" w:eastAsia="en-US"/>
              </w:rPr>
              <w:t xml:space="preserve">6.5. </w:t>
            </w:r>
            <w:r w:rsidRPr="00FC43AA">
              <w:rPr>
                <w:rFonts w:ascii="Arial" w:eastAsiaTheme="minorHAnsi" w:hAnsi="Arial" w:cs="Arial"/>
                <w:i/>
                <w:iCs/>
                <w:color w:val="000000"/>
                <w:lang w:val="es-CO" w:eastAsia="en-US"/>
              </w:rPr>
              <w:t xml:space="preserve">Mediante la anotación No. 29, de fecha 31 de julio de 2023, se registró la Resolución No. 772 del 23 de mayo de 2023, expedida por la SOCIEDAD DE ACTIVOS ESPECIALES S.A.S., mediante la cual se dispuso la transferencia del derecho de dominio del inmueble, en el marco de la enajenación temprana, a favor del señor DANILO CARDONA FERRO: </w:t>
            </w:r>
          </w:p>
          <w:p w14:paraId="33A1B3FE" w14:textId="77777777" w:rsidR="00FC43AA" w:rsidRPr="00FC43AA" w:rsidRDefault="00FC43AA" w:rsidP="00FC43AA">
            <w:pPr>
              <w:numPr>
                <w:ilvl w:val="1"/>
                <w:numId w:val="37"/>
              </w:numPr>
              <w:autoSpaceDE w:val="0"/>
              <w:autoSpaceDN w:val="0"/>
              <w:adjustRightInd w:val="0"/>
              <w:rPr>
                <w:rFonts w:ascii="Arial" w:eastAsiaTheme="minorHAnsi" w:hAnsi="Arial" w:cs="Arial"/>
                <w:color w:val="000000"/>
                <w:lang w:val="es-CO" w:eastAsia="en-US"/>
              </w:rPr>
            </w:pPr>
          </w:p>
          <w:p w14:paraId="32CA700B" w14:textId="31DD727A" w:rsidR="00FC43AA" w:rsidRPr="00FC43AA" w:rsidRDefault="00FC43AA" w:rsidP="00FC43AA">
            <w:pPr>
              <w:numPr>
                <w:ilvl w:val="1"/>
                <w:numId w:val="37"/>
              </w:num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i/>
                <w:noProof/>
                <w:color w:val="000000"/>
                <w:lang w:val="es-CO" w:eastAsia="es-CO"/>
              </w:rPr>
              <w:drawing>
                <wp:inline distT="0" distB="0" distL="0" distR="0" wp14:anchorId="2C0303E3" wp14:editId="2EBA084E">
                  <wp:extent cx="6122670" cy="1317625"/>
                  <wp:effectExtent l="0" t="0" r="0" b="0"/>
                  <wp:docPr id="197388379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670" cy="1317625"/>
                          </a:xfrm>
                          <a:prstGeom prst="rect">
                            <a:avLst/>
                          </a:prstGeom>
                          <a:noFill/>
                          <a:ln>
                            <a:noFill/>
                          </a:ln>
                        </pic:spPr>
                      </pic:pic>
                    </a:graphicData>
                  </a:graphic>
                </wp:inline>
              </w:drawing>
            </w:r>
          </w:p>
          <w:p w14:paraId="040DA57B" w14:textId="77777777" w:rsidR="00FC43AA" w:rsidRPr="00FC43AA" w:rsidRDefault="00FC43AA" w:rsidP="00FC43AA">
            <w:pPr>
              <w:autoSpaceDE w:val="0"/>
              <w:autoSpaceDN w:val="0"/>
              <w:adjustRightInd w:val="0"/>
              <w:jc w:val="both"/>
              <w:rPr>
                <w:rFonts w:ascii="Arial" w:eastAsiaTheme="minorHAnsi" w:hAnsi="Arial" w:cs="Arial"/>
                <w:i/>
                <w:color w:val="000000"/>
                <w:lang w:val="es-CO" w:eastAsia="en-US"/>
              </w:rPr>
            </w:pPr>
          </w:p>
          <w:p w14:paraId="1A9213C3" w14:textId="22A062E8" w:rsidR="00FC43AA" w:rsidRPr="00FC43AA" w:rsidRDefault="00FC43AA" w:rsidP="00FC43AA">
            <w:pPr>
              <w:numPr>
                <w:ilvl w:val="1"/>
                <w:numId w:val="39"/>
              </w:num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i/>
                <w:color w:val="000000"/>
                <w:lang w:val="es-CO" w:eastAsia="en-US"/>
              </w:rPr>
              <w:lastRenderedPageBreak/>
              <w:t xml:space="preserve">6.6. </w:t>
            </w:r>
            <w:r w:rsidRPr="00FC43AA">
              <w:rPr>
                <w:rFonts w:ascii="Arial" w:eastAsiaTheme="minorHAnsi" w:hAnsi="Arial" w:cs="Arial"/>
                <w:i/>
                <w:color w:val="000000"/>
                <w:lang w:val="es-CO" w:eastAsia="en-US"/>
              </w:rPr>
              <w:t xml:space="preserve">Finalmente, mediante la anotación No. 30, de fecha 9 de agosto de 2023, se registró el Oficio No. 214 F-41 del 4 de agosto de 2023, expedido por la </w:t>
            </w:r>
            <w:r w:rsidRPr="00FC43AA">
              <w:rPr>
                <w:rFonts w:ascii="Arial" w:eastAsiaTheme="minorHAnsi" w:hAnsi="Arial" w:cs="Arial"/>
                <w:b/>
                <w:bCs/>
                <w:i/>
                <w:color w:val="000000"/>
                <w:lang w:val="es-CO" w:eastAsia="en-US"/>
              </w:rPr>
              <w:t>FISCALÍA GENERAL DE LA NACIÓN</w:t>
            </w:r>
            <w:r w:rsidRPr="00FC43AA">
              <w:rPr>
                <w:rFonts w:ascii="Arial" w:eastAsiaTheme="minorHAnsi" w:hAnsi="Arial" w:cs="Arial"/>
                <w:i/>
                <w:color w:val="000000"/>
                <w:lang w:val="es-CO" w:eastAsia="en-US"/>
              </w:rPr>
              <w:t xml:space="preserve">, mediante el cual se dispuso la cancelación de la anotación No. 24, que había ordenado la suspensión del poder dispositivo sobre el inmueble: </w:t>
            </w:r>
          </w:p>
          <w:p w14:paraId="710CDC87" w14:textId="02820271" w:rsidR="00FC43AA" w:rsidRPr="00FC43AA" w:rsidRDefault="00FC43AA" w:rsidP="00FC43AA">
            <w:pPr>
              <w:numPr>
                <w:ilvl w:val="1"/>
                <w:numId w:val="39"/>
              </w:num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i/>
                <w:noProof/>
                <w:color w:val="000000"/>
                <w:lang w:val="es-CO" w:eastAsia="es-CO"/>
              </w:rPr>
              <w:drawing>
                <wp:inline distT="0" distB="0" distL="0" distR="0" wp14:anchorId="072E1FD2" wp14:editId="7BC2FD72">
                  <wp:extent cx="6122670" cy="1657985"/>
                  <wp:effectExtent l="0" t="0" r="0" b="0"/>
                  <wp:docPr id="121509676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670" cy="1657985"/>
                          </a:xfrm>
                          <a:prstGeom prst="rect">
                            <a:avLst/>
                          </a:prstGeom>
                          <a:noFill/>
                          <a:ln>
                            <a:noFill/>
                          </a:ln>
                        </pic:spPr>
                      </pic:pic>
                    </a:graphicData>
                  </a:graphic>
                </wp:inline>
              </w:drawing>
            </w:r>
          </w:p>
          <w:p w14:paraId="46868027" w14:textId="77777777" w:rsidR="00FC43AA" w:rsidRPr="008F4D73" w:rsidRDefault="00FC43AA" w:rsidP="004C51AC">
            <w:p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b/>
                <w:bCs/>
                <w:i/>
                <w:color w:val="000000"/>
                <w:lang w:val="es-CO" w:eastAsia="en-US"/>
              </w:rPr>
              <w:t xml:space="preserve">SEXTO. </w:t>
            </w:r>
            <w:r w:rsidRPr="008F4D73">
              <w:rPr>
                <w:rFonts w:ascii="Arial" w:eastAsiaTheme="minorHAnsi" w:hAnsi="Arial" w:cs="Arial"/>
                <w:i/>
                <w:color w:val="000000"/>
                <w:lang w:val="es-CO" w:eastAsia="en-US"/>
              </w:rPr>
              <w:t>Conforme al recuento anterior, para el mes de agosto de 2023 el certificado de tradición y libertad expedido por la Oficina de Registro de Instrumentos Públicos de Medellín – Zona Sur, instrumento que, de conformidad con el artículo 2 de la Ley 1579 de 20121, constituye un registro público que sirve como medio de tradición del dominio, da publicidad a las situaciones jurídicas del inmueble y reviste mérito probatorio, reflejaba que el bien: (i) si bien estuvo previamente vinculado a un proceso de extinción de dominio contra quien entonces figuraba como titular, circunstancia que implicó su retiro temporal del comercio; (ii) posteriormente fue entregado en depósito provisional por la SOCIEDAD DE ACTIVOS ESPECIALES S.A.S. a CÁCERES Y FERRO FINCA RAÍZ S.A. para su administración, cuidado, mantenimiento y custodia, en los términos del numeral 4 del artículo 92 de la Ley 1708 de 2014 y del artículo 2.5.5.6.1. del Decreto 1068 de 2015; (iii) fue autorizado por la misma SOCIEDAD DE ACTIVOS ESPECIALES S.A.S. para su enajenación temprana conforme al artículo 94 de la Ley 1708 de 2014; (iv) en consecuencia, se cancelaron las medidas provisionales consistentes en el embargo del inmueble y la suspensión del poder dispositivo; y (v) finalmente, el dominio fue transferido por la SOCIEDAD DE ACTIVOS ESPECIALES S.A.S. al señor DANILO CARDONA FERRO, quien, en calidad de titular inscrito, se encontraba habilitado para transferir el derecho de dominio a terceros.</w:t>
            </w:r>
          </w:p>
          <w:p w14:paraId="647ADB98" w14:textId="77777777" w:rsidR="00FC43AA" w:rsidRPr="008F4D73" w:rsidRDefault="00FC43AA" w:rsidP="004C51AC">
            <w:pPr>
              <w:autoSpaceDE w:val="0"/>
              <w:autoSpaceDN w:val="0"/>
              <w:adjustRightInd w:val="0"/>
              <w:jc w:val="both"/>
              <w:rPr>
                <w:rFonts w:ascii="Arial" w:eastAsiaTheme="minorHAnsi" w:hAnsi="Arial" w:cs="Arial"/>
                <w:i/>
                <w:color w:val="000000"/>
                <w:lang w:val="es-CO" w:eastAsia="en-US"/>
              </w:rPr>
            </w:pPr>
          </w:p>
          <w:p w14:paraId="7C17F6A7" w14:textId="77777777" w:rsidR="000066E8" w:rsidRPr="008F4D73" w:rsidRDefault="00FC43AA" w:rsidP="004C51AC">
            <w:p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b/>
                <w:bCs/>
                <w:i/>
                <w:color w:val="000000"/>
                <w:lang w:val="es-CO" w:eastAsia="en-US"/>
              </w:rPr>
              <w:t xml:space="preserve">SÉPTIMO. </w:t>
            </w:r>
            <w:r w:rsidRPr="008F4D73">
              <w:rPr>
                <w:rFonts w:ascii="Arial" w:eastAsiaTheme="minorHAnsi" w:hAnsi="Arial" w:cs="Arial"/>
                <w:i/>
                <w:color w:val="000000"/>
                <w:lang w:val="es-CO" w:eastAsia="en-US"/>
              </w:rPr>
              <w:t>Los esposos Beleño, con anterioridad a la adquisición del inmueble, no solo realizaron por su propia cuenta un estudio de títulos del bien inmueble, sino que además contrataron a un profesional del derecho para que los asesorara y emitiera concepto sobre su estado jurídico, con el propósito de verificar la existencia de un margen razonable de seguridad frente a la cuantiosa inversión que se disponían a realizar.</w:t>
            </w:r>
          </w:p>
          <w:p w14:paraId="4692ADDC" w14:textId="77777777" w:rsidR="000066E8" w:rsidRPr="008F4D73" w:rsidRDefault="000066E8" w:rsidP="004C51AC">
            <w:pPr>
              <w:autoSpaceDE w:val="0"/>
              <w:autoSpaceDN w:val="0"/>
              <w:adjustRightInd w:val="0"/>
              <w:jc w:val="both"/>
              <w:rPr>
                <w:rFonts w:ascii="Arial" w:eastAsiaTheme="minorHAnsi" w:hAnsi="Arial" w:cs="Arial"/>
                <w:i/>
                <w:color w:val="000000"/>
                <w:lang w:val="es-CO" w:eastAsia="en-US"/>
              </w:rPr>
            </w:pPr>
          </w:p>
          <w:p w14:paraId="153FB083"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b/>
                <w:bCs/>
                <w:i/>
                <w:color w:val="000000"/>
                <w:lang w:val="es-CO" w:eastAsia="en-US"/>
              </w:rPr>
              <w:t xml:space="preserve">OCTAVO. </w:t>
            </w:r>
            <w:r w:rsidRPr="000066E8">
              <w:rPr>
                <w:rFonts w:ascii="Arial" w:eastAsiaTheme="minorHAnsi" w:hAnsi="Arial" w:cs="Arial"/>
                <w:i/>
                <w:color w:val="000000"/>
                <w:lang w:val="es-CO" w:eastAsia="en-US"/>
              </w:rPr>
              <w:t xml:space="preserve">Con fundamento en lo anterior, esto es, apoyados en la apariencia de legalidad y buen derecho reflejada en la información certificada por la Oficina de Registro de </w:t>
            </w:r>
            <w:r w:rsidRPr="000066E8">
              <w:rPr>
                <w:rFonts w:ascii="Arial" w:eastAsiaTheme="minorHAnsi" w:hAnsi="Arial" w:cs="Arial"/>
                <w:i/>
                <w:color w:val="000000"/>
                <w:lang w:val="es-CO" w:eastAsia="en-US"/>
              </w:rPr>
              <w:lastRenderedPageBreak/>
              <w:t xml:space="preserve">Instrumentos Públicos de Medellín, y en el hecho de que el inmueble, pese a haber estado vinculado a un proceso de extinción de dominio, había sido autorizado para su enajenación temprana por la Sociedad de Activos Especiales S.A.S., los demandantes, </w:t>
            </w:r>
            <w:r w:rsidRPr="000066E8">
              <w:rPr>
                <w:rFonts w:ascii="Arial" w:eastAsiaTheme="minorHAnsi" w:hAnsi="Arial" w:cs="Arial"/>
                <w:b/>
                <w:bCs/>
                <w:i/>
                <w:color w:val="000000"/>
                <w:lang w:val="es-CO" w:eastAsia="en-US"/>
              </w:rPr>
              <w:t>obrando con buena fe exenta de culpa</w:t>
            </w:r>
            <w:r w:rsidRPr="000066E8">
              <w:rPr>
                <w:rFonts w:ascii="Arial" w:eastAsiaTheme="minorHAnsi" w:hAnsi="Arial" w:cs="Arial"/>
                <w:i/>
                <w:color w:val="000000"/>
                <w:lang w:val="es-CO" w:eastAsia="en-US"/>
              </w:rPr>
              <w:t xml:space="preserve">, procedieron a suscribir el 9 de agosto de 2023 la promesa de compraventa sobre el referido bien. </w:t>
            </w:r>
          </w:p>
          <w:p w14:paraId="7FA05F03" w14:textId="77777777"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p>
          <w:p w14:paraId="47635CE5" w14:textId="77777777" w:rsidR="000066E8" w:rsidRPr="008F4D73" w:rsidRDefault="000066E8" w:rsidP="000066E8">
            <w:pPr>
              <w:autoSpaceDE w:val="0"/>
              <w:autoSpaceDN w:val="0"/>
              <w:adjustRightInd w:val="0"/>
              <w:jc w:val="both"/>
              <w:rPr>
                <w:rFonts w:ascii="Arial" w:eastAsiaTheme="minorHAnsi" w:hAnsi="Arial" w:cs="Arial"/>
                <w:b/>
                <w:bCs/>
                <w:i/>
                <w:color w:val="000000"/>
                <w:lang w:val="es-CO" w:eastAsia="en-US"/>
              </w:rPr>
            </w:pPr>
            <w:r w:rsidRPr="000066E8">
              <w:rPr>
                <w:rFonts w:ascii="Arial" w:eastAsiaTheme="minorHAnsi" w:hAnsi="Arial" w:cs="Arial"/>
                <w:b/>
                <w:bCs/>
                <w:i/>
                <w:color w:val="000000"/>
                <w:lang w:val="es-CO" w:eastAsia="en-US"/>
              </w:rPr>
              <w:t xml:space="preserve">NOVENO. </w:t>
            </w:r>
            <w:r w:rsidRPr="000066E8">
              <w:rPr>
                <w:rFonts w:ascii="Arial" w:eastAsiaTheme="minorHAnsi" w:hAnsi="Arial" w:cs="Arial"/>
                <w:i/>
                <w:color w:val="000000"/>
                <w:lang w:val="es-CO" w:eastAsia="en-US"/>
              </w:rPr>
              <w:t xml:space="preserve">En relación con la referida promesa de compraventa, esta fue suscrita con presentación personal ante la NOTARÍA 13 DE MEDELLÍN. En dicho instrumento se estipuló que el señor Danilo Cardona Ferro, en calidad de promitente vendedor, prometía vender a los señores LUIS ARMANDO BELEÑO GIRALDO y LYDIA DA MOTA, como promitentes compradores, el inmueble identificado con matrícula inmobiliaria No. 001-315387 de la Oficina de Registro de Instrumentos Públicos de Medellín – Zona Sur, por un precio de </w:t>
            </w:r>
            <w:r w:rsidRPr="000066E8">
              <w:rPr>
                <w:rFonts w:ascii="Arial" w:eastAsiaTheme="minorHAnsi" w:hAnsi="Arial" w:cs="Arial"/>
                <w:b/>
                <w:bCs/>
                <w:i/>
                <w:color w:val="000000"/>
                <w:lang w:val="es-CO" w:eastAsia="en-US"/>
              </w:rPr>
              <w:t xml:space="preserve">SETECIENTOS CUARENTA MILLONES DE PESOS ($740.000.000). </w:t>
            </w:r>
          </w:p>
          <w:p w14:paraId="6BCF5955" w14:textId="77777777"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p>
          <w:p w14:paraId="49EF85B9"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b/>
                <w:bCs/>
                <w:i/>
                <w:color w:val="000000"/>
                <w:lang w:val="es-CO" w:eastAsia="en-US"/>
              </w:rPr>
              <w:t xml:space="preserve">DÉCIMO. </w:t>
            </w:r>
            <w:r w:rsidRPr="000066E8">
              <w:rPr>
                <w:rFonts w:ascii="Arial" w:eastAsiaTheme="minorHAnsi" w:hAnsi="Arial" w:cs="Arial"/>
                <w:i/>
                <w:color w:val="000000"/>
                <w:lang w:val="es-CO" w:eastAsia="en-US"/>
              </w:rPr>
              <w:t xml:space="preserve">Seguidamente, las partes se obligaron a suscribir la correspondiente escritura pública de compraventa el 20 de octubre de 2023 ante la NOTARÍA SEXTA DEL CÍRCULO DE MEDELLÍN, fecha en la cual se efectuaría la entrega material del inmueble. Posteriormente, los contratantes suscribieron un otrosí mediante el cual modificaron las fechas pactadas para el pago del precio y la firma de la escritura pública de venta. </w:t>
            </w:r>
          </w:p>
          <w:p w14:paraId="6610ABED" w14:textId="77777777"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p>
          <w:p w14:paraId="04E9DD75"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b/>
                <w:bCs/>
                <w:i/>
                <w:color w:val="000000"/>
                <w:lang w:val="es-CO" w:eastAsia="en-US"/>
              </w:rPr>
              <w:t xml:space="preserve">DECIMOPRIMERO. </w:t>
            </w:r>
            <w:r w:rsidRPr="000066E8">
              <w:rPr>
                <w:rFonts w:ascii="Arial" w:eastAsiaTheme="minorHAnsi" w:hAnsi="Arial" w:cs="Arial"/>
                <w:i/>
                <w:color w:val="000000"/>
                <w:lang w:val="es-CO" w:eastAsia="en-US"/>
              </w:rPr>
              <w:t xml:space="preserve">En cumplimiento de lo pactado en la promesa de compraventa, los esposos efectuaron los siguientes pagos al promitente vendedor, Danilo Cardona Ferro: (i) el 22 de agosto de 2023, la suma de DOSCIENTOS VEINTE MILLONES DE PESOS ($220.000.000); (ii) el 25 de agosto de 2023, la suma de CIENTO SESENTA MILLONES DE PESOS ($160.000.000); y (iii) el 15 de noviembre de 2023, la suma de TRESCIENTOS SESENTA MILLONES DE PESOS ($360.000.000). </w:t>
            </w:r>
          </w:p>
          <w:p w14:paraId="3033715E" w14:textId="77777777"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p>
          <w:p w14:paraId="15C7A1C4"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b/>
                <w:bCs/>
                <w:i/>
                <w:color w:val="000000"/>
                <w:lang w:val="es-CO" w:eastAsia="en-US"/>
              </w:rPr>
              <w:t xml:space="preserve">DECIMOSEGUNDO. </w:t>
            </w:r>
            <w:r w:rsidRPr="000066E8">
              <w:rPr>
                <w:rFonts w:ascii="Arial" w:eastAsiaTheme="minorHAnsi" w:hAnsi="Arial" w:cs="Arial"/>
                <w:i/>
                <w:color w:val="000000"/>
                <w:lang w:val="es-CO" w:eastAsia="en-US"/>
              </w:rPr>
              <w:t>El 30 de octubre de 2023, ante la NOTARÍA SEXTA DEL CÍRCULO DE MEDELLÍN, las partes suscribieron la escritura pública No. 4908, mediante la cual el señor DANILO CARDONA FERRO transfirió a mi representados el derecho de dominio sobre el inmueble identificado con matrícula inmobiliaria No. 001-315387 de la Oficina de Registro de Instrumentos Públicos de Medellín – Zona Sur.</w:t>
            </w:r>
          </w:p>
          <w:p w14:paraId="1AE17D6A" w14:textId="4091005C"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i/>
                <w:color w:val="000000"/>
                <w:lang w:val="es-CO" w:eastAsia="en-US"/>
              </w:rPr>
              <w:t xml:space="preserve"> </w:t>
            </w:r>
          </w:p>
          <w:p w14:paraId="0B0D02E3"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b/>
                <w:bCs/>
                <w:i/>
                <w:color w:val="000000"/>
                <w:lang w:val="es-CO" w:eastAsia="en-US"/>
              </w:rPr>
              <w:t xml:space="preserve">DECIMOTERCERO. </w:t>
            </w:r>
            <w:r w:rsidRPr="008F4D73">
              <w:rPr>
                <w:rFonts w:ascii="Arial" w:eastAsiaTheme="minorHAnsi" w:hAnsi="Arial" w:cs="Arial"/>
                <w:i/>
                <w:color w:val="000000"/>
                <w:lang w:val="es-CO" w:eastAsia="en-US"/>
              </w:rPr>
              <w:t xml:space="preserve">Cabe precisar que, si bien en la mencionada escritura se declaró como valor del inmueble la suma de SEISCIENTOS CINCUENTA MILLONES DE PESOS ($650.000.000), lo cierto es que el precio real pagado correspondió al estipulado en la promesa de compraventa, circunstancia que se acredita con los respectivos comprobantes de pago. </w:t>
            </w:r>
          </w:p>
          <w:p w14:paraId="0D3482A7"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b/>
                <w:bCs/>
                <w:i/>
                <w:color w:val="000000"/>
                <w:lang w:val="es-CO" w:eastAsia="en-US"/>
              </w:rPr>
              <w:lastRenderedPageBreak/>
              <w:t xml:space="preserve">DECIMOCUARTO. </w:t>
            </w:r>
            <w:r w:rsidRPr="000066E8">
              <w:rPr>
                <w:rFonts w:ascii="Arial" w:eastAsiaTheme="minorHAnsi" w:hAnsi="Arial" w:cs="Arial"/>
                <w:i/>
                <w:color w:val="000000"/>
                <w:lang w:val="es-CO" w:eastAsia="en-US"/>
              </w:rPr>
              <w:t xml:space="preserve">La escritura pública de compraventa fue presentada para su inscripción ante la Oficina de Registro de Instrumentos Públicos de Medellín – Zona Sur, a la cual le fue asignado el turno con radicado No. 2023-76423. Para la suscripción y registro de la escritura pública de compraventa, los demandantes debieron incurrir en gastos por la suma de veintiséis millones quinientos noventa y cinco mil doscientos sesenta y ocho pesos ($26.595.268). </w:t>
            </w:r>
          </w:p>
          <w:p w14:paraId="378B8737" w14:textId="77777777"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p>
          <w:p w14:paraId="6AB9EC7E"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b/>
                <w:bCs/>
                <w:i/>
                <w:color w:val="000000"/>
                <w:lang w:val="es-CO" w:eastAsia="en-US"/>
              </w:rPr>
              <w:t xml:space="preserve">DECIMOQUINTO. </w:t>
            </w:r>
            <w:r w:rsidRPr="008F4D73">
              <w:rPr>
                <w:rFonts w:ascii="Arial" w:eastAsiaTheme="minorHAnsi" w:hAnsi="Arial" w:cs="Arial"/>
                <w:i/>
                <w:color w:val="000000"/>
                <w:lang w:val="es-CO" w:eastAsia="en-US"/>
              </w:rPr>
              <w:t>En la misma fecha de suscripción de la escritura pública de compraventa, el promitente vendedor Danilo Cardona Ferro efectuó la entrega física y material del inmueble a mi representados, a partir de lo cual estos comenzaron a ejercer la posesión del bien con ánimo de señor y dueño. Dado que el inmueble requería reparaciones y adecuaciones locativas, los demandantes contrataron la ejecución de diferentes actividades tales como pintura, puertas, closets, restauración de fachada, entre otros, los cuales ascendieron a la suma de trescientos millones de pesos ($300.000.000). Es decir, uno fue el inmueble recibido y otro muy diferente el que quedó luego de las adecuaciones. A continuación, algunas fotografías del inmueble ya adecuado para su uso y habitación:</w:t>
            </w:r>
          </w:p>
          <w:p w14:paraId="6C4FE41F" w14:textId="77777777" w:rsidR="000066E8" w:rsidRPr="008F4D73" w:rsidRDefault="000066E8" w:rsidP="000066E8">
            <w:pPr>
              <w:autoSpaceDE w:val="0"/>
              <w:autoSpaceDN w:val="0"/>
              <w:adjustRightInd w:val="0"/>
              <w:jc w:val="both"/>
              <w:rPr>
                <w:rFonts w:ascii="Arial" w:eastAsiaTheme="minorHAnsi" w:hAnsi="Arial" w:cs="Arial"/>
                <w:i/>
                <w:color w:val="000000"/>
                <w:lang w:eastAsia="en-US"/>
              </w:rPr>
            </w:pPr>
            <w:r w:rsidRPr="008F4D73">
              <w:rPr>
                <w:rFonts w:ascii="Arial" w:eastAsiaTheme="minorHAnsi" w:hAnsi="Arial" w:cs="Arial"/>
                <w:i/>
                <w:noProof/>
                <w:color w:val="000000"/>
                <w:lang w:val="es-CO" w:eastAsia="es-CO"/>
              </w:rPr>
              <w:drawing>
                <wp:inline distT="0" distB="0" distL="0" distR="0" wp14:anchorId="234276E0" wp14:editId="47D7349C">
                  <wp:extent cx="5163271" cy="1933845"/>
                  <wp:effectExtent l="0" t="0" r="0" b="9525"/>
                  <wp:docPr id="18560419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041950" name=""/>
                          <pic:cNvPicPr/>
                        </pic:nvPicPr>
                        <pic:blipFill>
                          <a:blip r:embed="rId17"/>
                          <a:stretch>
                            <a:fillRect/>
                          </a:stretch>
                        </pic:blipFill>
                        <pic:spPr>
                          <a:xfrm>
                            <a:off x="0" y="0"/>
                            <a:ext cx="5163271" cy="1933845"/>
                          </a:xfrm>
                          <a:prstGeom prst="rect">
                            <a:avLst/>
                          </a:prstGeom>
                        </pic:spPr>
                      </pic:pic>
                    </a:graphicData>
                  </a:graphic>
                </wp:inline>
              </w:drawing>
            </w:r>
          </w:p>
          <w:p w14:paraId="6A82BA45" w14:textId="77777777" w:rsidR="000066E8" w:rsidRPr="008F4D73" w:rsidRDefault="000066E8" w:rsidP="000066E8">
            <w:pPr>
              <w:autoSpaceDE w:val="0"/>
              <w:autoSpaceDN w:val="0"/>
              <w:adjustRightInd w:val="0"/>
              <w:jc w:val="both"/>
              <w:rPr>
                <w:rFonts w:ascii="Arial" w:eastAsiaTheme="minorHAnsi" w:hAnsi="Arial" w:cs="Arial"/>
                <w:i/>
                <w:color w:val="000000"/>
                <w:lang w:eastAsia="en-US"/>
              </w:rPr>
            </w:pPr>
            <w:r w:rsidRPr="008F4D73">
              <w:rPr>
                <w:rFonts w:ascii="Arial" w:eastAsiaTheme="minorHAnsi" w:hAnsi="Arial" w:cs="Arial"/>
                <w:i/>
                <w:noProof/>
                <w:color w:val="000000"/>
                <w:lang w:val="es-CO" w:eastAsia="es-CO"/>
              </w:rPr>
              <w:drawing>
                <wp:inline distT="0" distB="0" distL="0" distR="0" wp14:anchorId="25EC4B20" wp14:editId="750ADFBE">
                  <wp:extent cx="5134692" cy="1600423"/>
                  <wp:effectExtent l="0" t="0" r="8890" b="0"/>
                  <wp:docPr id="181403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0307" name=""/>
                          <pic:cNvPicPr/>
                        </pic:nvPicPr>
                        <pic:blipFill>
                          <a:blip r:embed="rId18"/>
                          <a:stretch>
                            <a:fillRect/>
                          </a:stretch>
                        </pic:blipFill>
                        <pic:spPr>
                          <a:xfrm>
                            <a:off x="0" y="0"/>
                            <a:ext cx="5134692" cy="1600423"/>
                          </a:xfrm>
                          <a:prstGeom prst="rect">
                            <a:avLst/>
                          </a:prstGeom>
                        </pic:spPr>
                      </pic:pic>
                    </a:graphicData>
                  </a:graphic>
                </wp:inline>
              </w:drawing>
            </w:r>
          </w:p>
          <w:p w14:paraId="2437608F"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b/>
                <w:bCs/>
                <w:i/>
                <w:color w:val="000000"/>
                <w:lang w:val="es-CO" w:eastAsia="en-US"/>
              </w:rPr>
              <w:t xml:space="preserve">DECIMOSEXTO. </w:t>
            </w:r>
            <w:r w:rsidRPr="000066E8">
              <w:rPr>
                <w:rFonts w:ascii="Arial" w:eastAsiaTheme="minorHAnsi" w:hAnsi="Arial" w:cs="Arial"/>
                <w:i/>
                <w:color w:val="000000"/>
                <w:lang w:val="es-CO" w:eastAsia="en-US"/>
              </w:rPr>
              <w:t xml:space="preserve">Teniendo en cuenta que la finalidad de mi representados al adquirir el inmueble era destinarlo a la generación de rentas de capital, el día 11 de abril de 2024 suscribieron un </w:t>
            </w:r>
            <w:r w:rsidRPr="000066E8">
              <w:rPr>
                <w:rFonts w:ascii="Arial" w:eastAsiaTheme="minorHAnsi" w:hAnsi="Arial" w:cs="Arial"/>
                <w:b/>
                <w:bCs/>
                <w:i/>
                <w:color w:val="000000"/>
                <w:lang w:val="es-CO" w:eastAsia="en-US"/>
              </w:rPr>
              <w:t xml:space="preserve">contrato de administración comercial </w:t>
            </w:r>
            <w:r w:rsidRPr="000066E8">
              <w:rPr>
                <w:rFonts w:ascii="Arial" w:eastAsiaTheme="minorHAnsi" w:hAnsi="Arial" w:cs="Arial"/>
                <w:i/>
                <w:color w:val="000000"/>
                <w:lang w:val="es-CO" w:eastAsia="en-US"/>
              </w:rPr>
              <w:t xml:space="preserve">con la CONFORT GESTORES </w:t>
            </w:r>
            <w:r w:rsidRPr="000066E8">
              <w:rPr>
                <w:rFonts w:ascii="Arial" w:eastAsiaTheme="minorHAnsi" w:hAnsi="Arial" w:cs="Arial"/>
                <w:i/>
                <w:color w:val="000000"/>
                <w:lang w:val="es-CO" w:eastAsia="en-US"/>
              </w:rPr>
              <w:lastRenderedPageBreak/>
              <w:t xml:space="preserve">INMOBILIARIOS S.A.S., mediante el cual dicha sociedad se obligó a gestionar el arrendamiento del bien por un canon mensual de </w:t>
            </w:r>
            <w:r w:rsidRPr="000066E8">
              <w:rPr>
                <w:rFonts w:ascii="Arial" w:eastAsiaTheme="minorHAnsi" w:hAnsi="Arial" w:cs="Arial"/>
                <w:b/>
                <w:bCs/>
                <w:i/>
                <w:color w:val="000000"/>
                <w:lang w:val="es-CO" w:eastAsia="en-US"/>
              </w:rPr>
              <w:t>SEIS MILLONES QUINIENTOS MIL PESOS ($6.500.000)</w:t>
            </w:r>
            <w:r w:rsidRPr="000066E8">
              <w:rPr>
                <w:rFonts w:ascii="Arial" w:eastAsiaTheme="minorHAnsi" w:hAnsi="Arial" w:cs="Arial"/>
                <w:i/>
                <w:color w:val="000000"/>
                <w:lang w:val="es-CO" w:eastAsia="en-US"/>
              </w:rPr>
              <w:t xml:space="preserve">. </w:t>
            </w:r>
          </w:p>
          <w:p w14:paraId="35B64DF2" w14:textId="77777777"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p>
          <w:p w14:paraId="7B80223E"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b/>
                <w:bCs/>
                <w:i/>
                <w:color w:val="000000"/>
                <w:lang w:val="es-CO" w:eastAsia="en-US"/>
              </w:rPr>
              <w:t xml:space="preserve">DECIMOSÉPTIMO. </w:t>
            </w:r>
            <w:r w:rsidRPr="000066E8">
              <w:rPr>
                <w:rFonts w:ascii="Arial" w:eastAsiaTheme="minorHAnsi" w:hAnsi="Arial" w:cs="Arial"/>
                <w:i/>
                <w:color w:val="000000"/>
                <w:lang w:val="es-CO" w:eastAsia="en-US"/>
              </w:rPr>
              <w:t xml:space="preserve">El día 22 de abril de 2024, la sociedad Confort Gestores Inmobiliarios S.A.S. suscribió contrato de arrendamiento sobre el inmueble con los señores Ángela María Madrid Sierra, Santiago Cardona Madrid y Sebastián Gómez García, pactándose como </w:t>
            </w:r>
            <w:r w:rsidRPr="000066E8">
              <w:rPr>
                <w:rFonts w:ascii="Arial" w:eastAsiaTheme="minorHAnsi" w:hAnsi="Arial" w:cs="Arial"/>
                <w:b/>
                <w:bCs/>
                <w:i/>
                <w:color w:val="000000"/>
                <w:lang w:val="es-CO" w:eastAsia="en-US"/>
              </w:rPr>
              <w:t>canon mensual el valor previsto en el contrato de administración comercial y un plazo de doce (12) meses</w:t>
            </w:r>
            <w:r w:rsidRPr="000066E8">
              <w:rPr>
                <w:rFonts w:ascii="Arial" w:eastAsiaTheme="minorHAnsi" w:hAnsi="Arial" w:cs="Arial"/>
                <w:i/>
                <w:color w:val="000000"/>
                <w:lang w:val="es-CO" w:eastAsia="en-US"/>
              </w:rPr>
              <w:t xml:space="preserve">. Con ello, la inversión realizada por los demandantes comenzó a generar los rendimientos económicos esperados. El inmueble fue destinado a arrendamiento para estancias cortas por aplicaciones digitales por parte de los arrendatarios. </w:t>
            </w:r>
          </w:p>
          <w:p w14:paraId="7C563B44" w14:textId="77777777"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p>
          <w:p w14:paraId="7DAE8B9F"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b/>
                <w:bCs/>
                <w:i/>
                <w:color w:val="000000"/>
                <w:lang w:val="es-CO" w:eastAsia="en-US"/>
              </w:rPr>
              <w:t xml:space="preserve">DECIMOCTAVO. </w:t>
            </w:r>
            <w:r w:rsidRPr="000066E8">
              <w:rPr>
                <w:rFonts w:ascii="Arial" w:eastAsiaTheme="minorHAnsi" w:hAnsi="Arial" w:cs="Arial"/>
                <w:i/>
                <w:color w:val="000000"/>
                <w:lang w:val="es-CO" w:eastAsia="en-US"/>
              </w:rPr>
              <w:t xml:space="preserve">El día 18 de abril de 2024, mis representados recibieron una comunicación electrónica proveniente de la </w:t>
            </w:r>
            <w:r w:rsidRPr="000066E8">
              <w:rPr>
                <w:rFonts w:ascii="Arial" w:eastAsiaTheme="minorHAnsi" w:hAnsi="Arial" w:cs="Arial"/>
                <w:b/>
                <w:bCs/>
                <w:i/>
                <w:color w:val="000000"/>
                <w:lang w:val="es-CO" w:eastAsia="en-US"/>
              </w:rPr>
              <w:t>OFICINA DE REGISTRO DE INSTRUMENTOS PÚBLICOS DE MEDELLÍN – ZONA SUR</w:t>
            </w:r>
            <w:r w:rsidRPr="000066E8">
              <w:rPr>
                <w:rFonts w:ascii="Arial" w:eastAsiaTheme="minorHAnsi" w:hAnsi="Arial" w:cs="Arial"/>
                <w:i/>
                <w:color w:val="000000"/>
                <w:lang w:val="es-CO" w:eastAsia="en-US"/>
              </w:rPr>
              <w:t xml:space="preserve">, mediante la cual se les notificó personalmente la nota devolutiva del 16 de abril de 2024. A través de dicho acto, la dependencia inadmitió y devolvió sin registro la Escritura Pública de Compraventa No. 4908 del 30 de octubre de 2023, otorgada ante la Notaría Sexta del Círculo de Medellín, bajo el argumento de que sobre el inmueble recaía un embargo vigente dentro de un proceso de extinción de dominio seguido contra el señor Hernán de Jesús Velásquez. </w:t>
            </w:r>
          </w:p>
          <w:p w14:paraId="2F75B642" w14:textId="77777777"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p>
          <w:p w14:paraId="458C703C"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b/>
                <w:bCs/>
                <w:i/>
                <w:color w:val="000000"/>
                <w:lang w:val="es-CO" w:eastAsia="en-US"/>
              </w:rPr>
              <w:t xml:space="preserve">DECIMONOVENO. </w:t>
            </w:r>
            <w:r w:rsidRPr="008F4D73">
              <w:rPr>
                <w:rFonts w:ascii="Arial" w:eastAsiaTheme="minorHAnsi" w:hAnsi="Arial" w:cs="Arial"/>
                <w:i/>
                <w:color w:val="000000"/>
                <w:lang w:val="es-CO" w:eastAsia="en-US"/>
              </w:rPr>
              <w:t xml:space="preserve">Inicialmente, mi representados consideraron que se trataba de una confusión, pues al momento de la celebración de la escritura de compraventa las medidas de embargo habían sido canceladas y el inmueble figuraba como adquirido por el señor Danilo Cardona Ferro mediante enajenación temprana autorizada por la Sociedad de Activos Especiales S.A.S. No obstante, al verificar lo ocurrido, advirtieron que en el folio de matrícula inmobiliaria, dentro del acápite de salvedades, se había incorporado una anotación mediante la cual se dejaban sin efecto registral las anotaciones Nos. 28, 29 y 30; esto es, aquellas que habían dispuesto la cancelación del embargo del inmueble y de la suspensión del poder dispositivo ordenadas por la Fiscalía General de la Nación, así como la inscripción de la transferencia de dominio derivada de la enajenación temprana a favor del referido señor Cardona Ferro. </w:t>
            </w:r>
          </w:p>
          <w:p w14:paraId="34B65656"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p>
          <w:p w14:paraId="6D142958"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b/>
                <w:bCs/>
                <w:i/>
                <w:color w:val="000000"/>
                <w:lang w:val="es-CO" w:eastAsia="en-US"/>
              </w:rPr>
              <w:t xml:space="preserve">VIGÉSIMO. </w:t>
            </w:r>
            <w:r w:rsidRPr="008F4D73">
              <w:rPr>
                <w:rFonts w:ascii="Arial" w:eastAsiaTheme="minorHAnsi" w:hAnsi="Arial" w:cs="Arial"/>
                <w:i/>
                <w:color w:val="000000"/>
                <w:lang w:val="es-CO" w:eastAsia="en-US"/>
              </w:rPr>
              <w:t xml:space="preserve">Con el fin de esclarecer lo ocurrido, los demandantes se vieron en la necesidad de contratar a un profesional del derecho en Colombia, quien, tras adelantar las averiguaciones pertinentes, tuvo acceso al contenido de la Resolución No. 113 del 20 de febrero de 2024, expedida por la Registradora Principal de Instrumentos Públicos de </w:t>
            </w:r>
            <w:r w:rsidRPr="008F4D73">
              <w:rPr>
                <w:rFonts w:ascii="Arial" w:eastAsiaTheme="minorHAnsi" w:hAnsi="Arial" w:cs="Arial"/>
                <w:i/>
                <w:color w:val="000000"/>
                <w:lang w:val="es-CO" w:eastAsia="en-US"/>
              </w:rPr>
              <w:lastRenderedPageBreak/>
              <w:t>Medellín – Zona Sur. Mediante dicho acto administrativo se resolvió una actuación administrativa registral, disponiéndose en su artículo primero lo siguiente:</w:t>
            </w:r>
          </w:p>
          <w:p w14:paraId="1BD527C7" w14:textId="77777777" w:rsidR="000066E8" w:rsidRPr="008F4D73" w:rsidRDefault="000066E8" w:rsidP="000066E8">
            <w:pPr>
              <w:autoSpaceDE w:val="0"/>
              <w:autoSpaceDN w:val="0"/>
              <w:adjustRightInd w:val="0"/>
              <w:jc w:val="both"/>
              <w:rPr>
                <w:rFonts w:ascii="Arial" w:eastAsiaTheme="minorHAnsi" w:hAnsi="Arial" w:cs="Arial"/>
                <w:i/>
                <w:color w:val="000000"/>
                <w:lang w:eastAsia="en-US"/>
              </w:rPr>
            </w:pPr>
            <w:r w:rsidRPr="008F4D73">
              <w:rPr>
                <w:rFonts w:ascii="Arial" w:eastAsiaTheme="minorHAnsi" w:hAnsi="Arial" w:cs="Arial"/>
                <w:i/>
                <w:noProof/>
                <w:color w:val="000000"/>
                <w:lang w:val="es-CO" w:eastAsia="es-CO"/>
              </w:rPr>
              <w:drawing>
                <wp:inline distT="0" distB="0" distL="0" distR="0" wp14:anchorId="664BD3BB" wp14:editId="6511DC84">
                  <wp:extent cx="4104005" cy="1073785"/>
                  <wp:effectExtent l="0" t="0" r="0" b="0"/>
                  <wp:docPr id="165142043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04005" cy="1073785"/>
                          </a:xfrm>
                          <a:prstGeom prst="rect">
                            <a:avLst/>
                          </a:prstGeom>
                          <a:noFill/>
                          <a:ln>
                            <a:noFill/>
                          </a:ln>
                        </pic:spPr>
                      </pic:pic>
                    </a:graphicData>
                  </a:graphic>
                </wp:inline>
              </w:drawing>
            </w:r>
          </w:p>
          <w:p w14:paraId="3A754A0B"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0066E8">
              <w:rPr>
                <w:rFonts w:ascii="Arial" w:eastAsiaTheme="minorHAnsi" w:hAnsi="Arial" w:cs="Arial"/>
                <w:b/>
                <w:bCs/>
                <w:i/>
                <w:color w:val="000000"/>
                <w:lang w:val="es-CO" w:eastAsia="en-US"/>
              </w:rPr>
              <w:t xml:space="preserve">VIGÉSIMO PRIMERO. </w:t>
            </w:r>
            <w:r w:rsidRPr="000066E8">
              <w:rPr>
                <w:rFonts w:ascii="Arial" w:eastAsiaTheme="minorHAnsi" w:hAnsi="Arial" w:cs="Arial"/>
                <w:i/>
                <w:color w:val="000000"/>
                <w:lang w:val="es-CO" w:eastAsia="en-US"/>
              </w:rPr>
              <w:t xml:space="preserve">Es relevante señalar que la referida resolución no fue comunicada a mi representados, quienes solo tuvieron conocimiento de su existencia con posterioridad a la notificación de la nota devolutiva del 16 de abril de 2024. Ello ocurrió cuando, como resultado de las averiguaciones adelantadas, advirtieron que dicho acto había sido inscrito en el acápite de salvedades del folio de matrícula inmobiliaria y, tras presentar un derecho de petición, obtuvieron copia del mismo y pudieron conocer su contenido. </w:t>
            </w:r>
          </w:p>
          <w:p w14:paraId="59802650" w14:textId="77777777" w:rsidR="000066E8" w:rsidRPr="000066E8" w:rsidRDefault="000066E8" w:rsidP="000066E8">
            <w:pPr>
              <w:autoSpaceDE w:val="0"/>
              <w:autoSpaceDN w:val="0"/>
              <w:adjustRightInd w:val="0"/>
              <w:jc w:val="both"/>
              <w:rPr>
                <w:rFonts w:ascii="Arial" w:eastAsiaTheme="minorHAnsi" w:hAnsi="Arial" w:cs="Arial"/>
                <w:i/>
                <w:color w:val="000000"/>
                <w:lang w:val="es-CO" w:eastAsia="en-US"/>
              </w:rPr>
            </w:pPr>
          </w:p>
          <w:p w14:paraId="61EF3DB2"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b/>
                <w:bCs/>
                <w:i/>
                <w:color w:val="000000"/>
                <w:lang w:val="es-CO" w:eastAsia="en-US"/>
              </w:rPr>
              <w:t xml:space="preserve">VIGÉSIMO SEGUNDO. </w:t>
            </w:r>
            <w:r w:rsidRPr="008F4D73">
              <w:rPr>
                <w:rFonts w:ascii="Arial" w:eastAsiaTheme="minorHAnsi" w:hAnsi="Arial" w:cs="Arial"/>
                <w:i/>
                <w:color w:val="000000"/>
                <w:lang w:val="es-CO" w:eastAsia="en-US"/>
              </w:rPr>
              <w:t>Sobre el particular, los considerandos de la Resolución No. 113 del 20 de febrero de 2024, expedida por la Registradora Principal de Instrumentos Públicos de Medellín – Zona Sur, señalan lo siguiente:</w:t>
            </w:r>
          </w:p>
          <w:p w14:paraId="0CD6C6B9"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i/>
                <w:noProof/>
                <w:color w:val="000000"/>
                <w:lang w:val="es-CO" w:eastAsia="es-CO"/>
              </w:rPr>
              <w:drawing>
                <wp:inline distT="0" distB="0" distL="0" distR="0" wp14:anchorId="609CD672" wp14:editId="43CCE1AD">
                  <wp:extent cx="6122670" cy="1955800"/>
                  <wp:effectExtent l="0" t="0" r="0" b="6350"/>
                  <wp:docPr id="26431475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670" cy="1955800"/>
                          </a:xfrm>
                          <a:prstGeom prst="rect">
                            <a:avLst/>
                          </a:prstGeom>
                          <a:noFill/>
                          <a:ln>
                            <a:noFill/>
                          </a:ln>
                        </pic:spPr>
                      </pic:pic>
                    </a:graphicData>
                  </a:graphic>
                </wp:inline>
              </w:drawing>
            </w:r>
            <w:r w:rsidRPr="008F4D73">
              <w:rPr>
                <w:rFonts w:ascii="Arial" w:eastAsiaTheme="minorHAnsi" w:hAnsi="Arial" w:cs="Arial"/>
                <w:i/>
                <w:noProof/>
                <w:color w:val="000000"/>
                <w:lang w:val="es-CO" w:eastAsia="es-CO"/>
              </w:rPr>
              <w:drawing>
                <wp:inline distT="0" distB="0" distL="0" distR="0" wp14:anchorId="4B08EAFE" wp14:editId="5159CB1F">
                  <wp:extent cx="6113780" cy="1095375"/>
                  <wp:effectExtent l="0" t="0" r="1270" b="9525"/>
                  <wp:docPr id="123955512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3780" cy="1095375"/>
                          </a:xfrm>
                          <a:prstGeom prst="rect">
                            <a:avLst/>
                          </a:prstGeom>
                          <a:noFill/>
                          <a:ln>
                            <a:noFill/>
                          </a:ln>
                        </pic:spPr>
                      </pic:pic>
                    </a:graphicData>
                  </a:graphic>
                </wp:inline>
              </w:drawing>
            </w:r>
            <w:r w:rsidRPr="008F4D73">
              <w:rPr>
                <w:rFonts w:ascii="Arial" w:eastAsiaTheme="minorHAnsi" w:hAnsi="Arial" w:cs="Arial"/>
                <w:b/>
                <w:bCs/>
                <w:i/>
                <w:color w:val="000000"/>
                <w:lang w:val="es-CO" w:eastAsia="en-US"/>
              </w:rPr>
              <w:t xml:space="preserve">VIGÉSIMO TERCERO. </w:t>
            </w:r>
            <w:r w:rsidRPr="008F4D73">
              <w:rPr>
                <w:rFonts w:ascii="Arial" w:eastAsiaTheme="minorHAnsi" w:hAnsi="Arial" w:cs="Arial"/>
                <w:i/>
                <w:color w:val="000000"/>
                <w:lang w:val="es-CO" w:eastAsia="en-US"/>
              </w:rPr>
              <w:t xml:space="preserve">Con la información inicialmente obtenida, la cual generaba más interrogantes que certezas, mi representados adelantaron gestiones ante las entidades públicas involucradas con el propósito de esclarecer lo ocurrido. No obstante, no recibieron una respuesta clara ni explicaciones suficientes sobre las circunstancias del caso, </w:t>
            </w:r>
            <w:r w:rsidRPr="008F4D73">
              <w:rPr>
                <w:rFonts w:ascii="Arial" w:eastAsiaTheme="minorHAnsi" w:hAnsi="Arial" w:cs="Arial"/>
                <w:i/>
                <w:color w:val="000000"/>
                <w:lang w:val="es-CO" w:eastAsia="en-US"/>
              </w:rPr>
              <w:lastRenderedPageBreak/>
              <w:t xml:space="preserve">particularmente en relación con la tenencia y posesión del inmueble por parte del señor Danilo Cardona Ferro, pese a que este, según los registros, se encontraba bajo la administración de la Sociedad de Activos Especiales S.A.S.; tampoco se aclaró el origen de los documentos que permitieron la transferencia del dominio ni las razones por las cuales tales instrumentos, posteriormente cuestionados, superaron los controles de la Oficina de Registro de Instrumentos Públicos de Medellín sin generar alertas o reparos. </w:t>
            </w:r>
          </w:p>
          <w:p w14:paraId="50B294FD"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p>
          <w:p w14:paraId="248B07FC" w14:textId="77777777" w:rsidR="000066E8" w:rsidRPr="008F4D73" w:rsidRDefault="000066E8" w:rsidP="000066E8">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b/>
                <w:bCs/>
                <w:i/>
                <w:color w:val="000000"/>
                <w:lang w:val="es-CO" w:eastAsia="en-US"/>
              </w:rPr>
              <w:t xml:space="preserve">VIGÉSIMO CUARTO. </w:t>
            </w:r>
            <w:r w:rsidRPr="008F4D73">
              <w:rPr>
                <w:rFonts w:ascii="Arial" w:eastAsiaTheme="minorHAnsi" w:hAnsi="Arial" w:cs="Arial"/>
                <w:i/>
                <w:color w:val="000000"/>
                <w:lang w:val="es-CO" w:eastAsia="en-US"/>
              </w:rPr>
              <w:t xml:space="preserve">El 30 de agosto de 2024, el Director Territorial Occidente de la Sociedad de Activos Especiales S.A.S. remitió una comunicación a la agencia inmobiliaria Confort Gestores Inmobiliarios S.A.S., en la cual indicó que el inmueble ubicado en la carrera 72A No. 45E-51, barrio Florida Nueva, de la ciudad de Medellín, se encontraba vinculado a un proceso de extinción de dominio. Señaló además que tal circunstancia constaba en el certificado de tradición y libertad correspondiente al folio de matrícula inmobiliaria No. 001-315-387 y advirtió que los contratos celebrados respecto del inmueble </w:t>
            </w:r>
            <w:r w:rsidRPr="008F4D73">
              <w:rPr>
                <w:rFonts w:ascii="Arial" w:eastAsiaTheme="minorHAnsi" w:hAnsi="Arial" w:cs="Arial"/>
                <w:i/>
                <w:iCs/>
                <w:color w:val="000000"/>
                <w:lang w:val="es-CO" w:eastAsia="en-US"/>
              </w:rPr>
              <w:t>carecerían de validez y no serían reconocidos por la entidad.</w:t>
            </w:r>
          </w:p>
          <w:p w14:paraId="0BE14981" w14:textId="77777777" w:rsidR="000066E8" w:rsidRPr="008F4D73" w:rsidRDefault="000066E8" w:rsidP="000066E8">
            <w:pPr>
              <w:autoSpaceDE w:val="0"/>
              <w:autoSpaceDN w:val="0"/>
              <w:adjustRightInd w:val="0"/>
              <w:jc w:val="both"/>
              <w:rPr>
                <w:rFonts w:ascii="Arial" w:eastAsiaTheme="minorHAnsi" w:hAnsi="Arial" w:cs="Arial"/>
                <w:i/>
                <w:iCs/>
                <w:color w:val="000000"/>
                <w:lang w:val="es-CO" w:eastAsia="en-US"/>
              </w:rPr>
            </w:pPr>
          </w:p>
          <w:p w14:paraId="14D1A786"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r w:rsidRPr="008F4D73">
              <w:rPr>
                <w:rFonts w:ascii="Arial" w:eastAsiaTheme="minorHAnsi" w:hAnsi="Arial" w:cs="Arial"/>
                <w:b/>
                <w:bCs/>
                <w:i/>
                <w:color w:val="000000"/>
                <w:lang w:val="es-CO" w:eastAsia="en-US"/>
              </w:rPr>
              <w:t xml:space="preserve">VIGÉSIMO QUINTO. </w:t>
            </w:r>
            <w:r w:rsidRPr="008F4D73">
              <w:rPr>
                <w:rFonts w:ascii="Arial" w:eastAsiaTheme="minorHAnsi" w:hAnsi="Arial" w:cs="Arial"/>
                <w:i/>
                <w:color w:val="000000"/>
                <w:lang w:val="es-CO" w:eastAsia="en-US"/>
              </w:rPr>
              <w:t xml:space="preserve">Con posterioridad, personas que se identificaron como funcionarios de la Sociedad de Activos Especiales S.A.S., acompañadas por miembros de la Policía Nacional de Colombia, acudieron en varias oportunidades al inmueble y establecieron contacto con los arrendatarios, manifestándoles que la ocupación del bien era ilegal o irregular y requiriendo su desalojo. Hasta que, el 25 de noviembre de 2024, dichos funcionarios se presentaron en el inmueble solicitando su entrega voluntaria, fijando como plazo máximo el día 13 de diciembre de 2024.  </w:t>
            </w:r>
          </w:p>
          <w:p w14:paraId="0DB7F586" w14:textId="77777777" w:rsidR="000066E8" w:rsidRPr="008F4D73" w:rsidRDefault="000066E8" w:rsidP="000066E8">
            <w:pPr>
              <w:autoSpaceDE w:val="0"/>
              <w:autoSpaceDN w:val="0"/>
              <w:adjustRightInd w:val="0"/>
              <w:jc w:val="both"/>
              <w:rPr>
                <w:rFonts w:ascii="Arial" w:eastAsiaTheme="minorHAnsi" w:hAnsi="Arial" w:cs="Arial"/>
                <w:i/>
                <w:color w:val="000000"/>
                <w:lang w:val="es-CO" w:eastAsia="en-US"/>
              </w:rPr>
            </w:pPr>
          </w:p>
          <w:p w14:paraId="6585CBD4"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b/>
                <w:bCs/>
                <w:i/>
                <w:iCs/>
                <w:color w:val="000000"/>
                <w:lang w:val="es-CO" w:eastAsia="en-US"/>
              </w:rPr>
              <w:t xml:space="preserve">VIGÉSIMO SEXTO. </w:t>
            </w:r>
            <w:r w:rsidRPr="009A5785">
              <w:rPr>
                <w:rFonts w:ascii="Arial" w:eastAsiaTheme="minorHAnsi" w:hAnsi="Arial" w:cs="Arial"/>
                <w:i/>
                <w:iCs/>
                <w:color w:val="000000"/>
                <w:lang w:val="es-CO" w:eastAsia="en-US"/>
              </w:rPr>
              <w:t xml:space="preserve">Finalmente, el 21 de marzo de 2025, la SOCIEDAD DE ACTIVOS ESPECIALES S.A.S., con acompañamiento de la Policía Nacional de Colombia, ejecutó el desalojo del inmueble objeto del contrato de arrendamiento. Como consecuencia, los arrendatarios debieron desocupar intempestivamente el inmueble, asumiendo los costos logísticos derivados del traslado de sus pertenencias y la contratación de personal para su embalaje y movilización, además de verse expuestos al escarnio público derivada de la publicidad del procedimiento. </w:t>
            </w:r>
          </w:p>
          <w:p w14:paraId="1741F695"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p>
          <w:p w14:paraId="2BA5A215"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b/>
                <w:bCs/>
                <w:i/>
                <w:iCs/>
                <w:color w:val="000000"/>
                <w:lang w:val="es-CO" w:eastAsia="en-US"/>
              </w:rPr>
              <w:t xml:space="preserve">VIGÉSIMO SÉPTIMO. </w:t>
            </w:r>
            <w:r w:rsidRPr="008F4D73">
              <w:rPr>
                <w:rFonts w:ascii="Arial" w:eastAsiaTheme="minorHAnsi" w:hAnsi="Arial" w:cs="Arial"/>
                <w:i/>
                <w:iCs/>
                <w:color w:val="000000"/>
                <w:lang w:val="es-CO" w:eastAsia="en-US"/>
              </w:rPr>
              <w:t xml:space="preserve">En atención a lo anterior, resultó necesario resarcir los perjuicios ocasionados a los arrendatarios como consecuencia de la terminación abrupta del contrato de arrendamiento. En ese contexto, la inmobiliaria Confort Gestores Inmobiliarios S.A.S. suscribió el 6 de mayo de 2025 un contrato de transacción, mediante el cual reconoció a favor de aquellos, a título de indemnización de perjuicios, la suma de </w:t>
            </w:r>
            <w:r w:rsidRPr="008F4D73">
              <w:rPr>
                <w:rFonts w:ascii="Arial" w:eastAsiaTheme="minorHAnsi" w:hAnsi="Arial" w:cs="Arial"/>
                <w:b/>
                <w:bCs/>
                <w:i/>
                <w:iCs/>
                <w:color w:val="000000"/>
                <w:lang w:val="es-CO" w:eastAsia="en-US"/>
              </w:rPr>
              <w:t>CUARENTA Y TRES MILLONES DE PESOS ($43.000.000)</w:t>
            </w:r>
            <w:r w:rsidRPr="008F4D73">
              <w:rPr>
                <w:rFonts w:ascii="Arial" w:eastAsiaTheme="minorHAnsi" w:hAnsi="Arial" w:cs="Arial"/>
                <w:i/>
                <w:iCs/>
                <w:color w:val="000000"/>
                <w:lang w:val="es-CO" w:eastAsia="en-US"/>
              </w:rPr>
              <w:t>, tal como se acredita en el documento que se aporta a continuación:</w:t>
            </w:r>
          </w:p>
          <w:p w14:paraId="30221DBF"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i/>
                <w:iCs/>
                <w:noProof/>
                <w:color w:val="000000"/>
                <w:lang w:val="es-CO" w:eastAsia="es-CO"/>
              </w:rPr>
              <w:lastRenderedPageBreak/>
              <w:drawing>
                <wp:inline distT="0" distB="0" distL="0" distR="0" wp14:anchorId="3B21360B" wp14:editId="22471DF1">
                  <wp:extent cx="6113780" cy="2711450"/>
                  <wp:effectExtent l="0" t="0" r="1270" b="0"/>
                  <wp:docPr id="124322694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3780" cy="2711450"/>
                          </a:xfrm>
                          <a:prstGeom prst="rect">
                            <a:avLst/>
                          </a:prstGeom>
                          <a:noFill/>
                          <a:ln>
                            <a:noFill/>
                          </a:ln>
                        </pic:spPr>
                      </pic:pic>
                    </a:graphicData>
                  </a:graphic>
                </wp:inline>
              </w:drawing>
            </w:r>
            <w:r w:rsidRPr="008F4D73">
              <w:rPr>
                <w:rFonts w:ascii="Arial" w:eastAsiaTheme="minorHAnsi" w:hAnsi="Arial" w:cs="Arial"/>
                <w:b/>
                <w:bCs/>
                <w:i/>
                <w:iCs/>
                <w:color w:val="000000"/>
                <w:lang w:val="es-CO" w:eastAsia="en-US"/>
              </w:rPr>
              <w:t xml:space="preserve">VIGÉSIMO OCTAVO. </w:t>
            </w:r>
            <w:r w:rsidRPr="008F4D73">
              <w:rPr>
                <w:rFonts w:ascii="Arial" w:eastAsiaTheme="minorHAnsi" w:hAnsi="Arial" w:cs="Arial"/>
                <w:i/>
                <w:iCs/>
                <w:color w:val="000000"/>
                <w:lang w:val="es-CO" w:eastAsia="en-US"/>
              </w:rPr>
              <w:t>En conclusión, se evidencia que los demandantes realizaron una cuantiosa inversión en un inmueble respecto del cual la Oficina de Registro de Instrumentos Públicos de Medellín – Zona Sur daba fe pública de encontrarse en el comercio, libre de gravámenes y con titularidad válida en cabeza del vendedor. Una vez dicha inversión comenzó a generar rendimientos derivados de su arrendamiento, los demandantes fueron privados de manera abrupta de la tenencia y posesión del bien, circunstancia que no solo frustró la finalidad económica de la adquisición, sino que además los obligó a indemnizar los perjuicios causados a los arrendatarios como consecuencia de la interrupción del contrato.</w:t>
            </w:r>
          </w:p>
          <w:p w14:paraId="3C431448"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p>
          <w:p w14:paraId="57EF7645"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b/>
                <w:bCs/>
                <w:i/>
                <w:iCs/>
                <w:color w:val="000000"/>
                <w:lang w:val="es-CO" w:eastAsia="en-US"/>
              </w:rPr>
              <w:t xml:space="preserve">NOVENO. </w:t>
            </w:r>
            <w:r w:rsidRPr="009A5785">
              <w:rPr>
                <w:rFonts w:ascii="Arial" w:eastAsiaTheme="minorHAnsi" w:hAnsi="Arial" w:cs="Arial"/>
                <w:i/>
                <w:iCs/>
                <w:color w:val="000000"/>
                <w:lang w:val="es-CO" w:eastAsia="en-US"/>
              </w:rPr>
              <w:t xml:space="preserve">Los hechos descritos resultan imputables a la acción y a la omisión de los agentes de las entidades públicas demandadas, en la medida en que su actuación y, en determinados aspectos, su falta de diligencia, contribuyó de manera directa y eficiente a la producción del daño antijurídico sufrido por los demandantes, a saber: </w:t>
            </w:r>
          </w:p>
          <w:p w14:paraId="31DB01DE"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p>
          <w:p w14:paraId="189927EF"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 xml:space="preserve">29.1. Respecto de la Fiscalía General de la Nación, la falta de seguimiento y control sobre las actuaciones de la Sociedad de Activos Especiales S.A.S. respecto del inmueble objeto de controversia. En principio, se advierte una deficiencia en la coordinación interinstitucional y en la gestión de la información relacionada con el proceso de extinción de dominio, lo cual derivó en que actos que aparentemente levantaban restricciones jurídicas fueran posteriormente desprovistos de efectos registrales, sin que existiera una comunicación clara, oportuna y eficaz hacia los terceros que obraban de buena fe. </w:t>
            </w:r>
          </w:p>
          <w:p w14:paraId="469DC0C2"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 xml:space="preserve">En particular, la Fiscalía, como autoridad responsable del proceso de extinción de dominio, no verificó ni supervisó que las medidas provisionales sobre el inmueble fueran </w:t>
            </w:r>
            <w:r w:rsidRPr="009A5785">
              <w:rPr>
                <w:rFonts w:ascii="Arial" w:eastAsiaTheme="minorHAnsi" w:hAnsi="Arial" w:cs="Arial"/>
                <w:i/>
                <w:iCs/>
                <w:color w:val="000000"/>
                <w:lang w:val="es-CO" w:eastAsia="en-US"/>
              </w:rPr>
              <w:lastRenderedPageBreak/>
              <w:t xml:space="preserve">debidamente respetadas (si era el caso) o levantadas, ni que la eventual transferencia de dominio realizada por la Sociedad de Activos Especiales S.A.S. se ajustara a derecho, en caso de haber sido autorizada. Esta omisión permitió que la SAE y terceros realizaran actos sobre el bien sin garantizar la seguridad jurídica de los adquirentes de buena fe, generando información contradictoria en el folio de matrícula inmobiliaria y creando una apariencia de legalidad que indujo a los demandantes a realizar la inversión, provocando finalmente el daño económico y patrimonial que se reclama. </w:t>
            </w:r>
          </w:p>
          <w:p w14:paraId="2CF8B083"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 xml:space="preserve">En tal sentido, la falta de seguimiento por parte de la Fiscalía, de no asegurarse de la correcta ejecución de las medidas cautelares y de la actuación de la SAE, constituye una omisión administrativa que guarda relación directa y eficiente con la privación abrupta de la tenencia y posesión del inmueble, así como con los perjuicios económicos y patrimoniales sufridos por los demandantes. </w:t>
            </w:r>
          </w:p>
          <w:p w14:paraId="62900F6C"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p>
          <w:p w14:paraId="36C6EC8B"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i/>
                <w:iCs/>
                <w:color w:val="000000"/>
                <w:lang w:val="es-CO" w:eastAsia="en-US"/>
              </w:rPr>
              <w:t xml:space="preserve">29.2. Respecto de la </w:t>
            </w:r>
            <w:r w:rsidRPr="008F4D73">
              <w:rPr>
                <w:rFonts w:ascii="Arial" w:eastAsiaTheme="minorHAnsi" w:hAnsi="Arial" w:cs="Arial"/>
                <w:b/>
                <w:bCs/>
                <w:i/>
                <w:iCs/>
                <w:color w:val="000000"/>
                <w:lang w:val="es-CO" w:eastAsia="en-US"/>
              </w:rPr>
              <w:t>SUPERINTENDENCIA DE NOTARIADO Y REGISTRO</w:t>
            </w:r>
            <w:r w:rsidRPr="008F4D73">
              <w:rPr>
                <w:rFonts w:ascii="Arial" w:eastAsiaTheme="minorHAnsi" w:hAnsi="Arial" w:cs="Arial"/>
                <w:i/>
                <w:iCs/>
                <w:color w:val="000000"/>
                <w:lang w:val="es-CO" w:eastAsia="en-US"/>
              </w:rPr>
              <w:t>, se evidencia una falla en el ejercicio de sus funciones en la prestación del servicio público registral, pues la Oficina de Registro de Instrumentos Públicos de Medellín – Zona Sur, no cumplió con los protocolos y procedimientos adoptados para garantizar la seguridad jurídica de los actos inscritos, especialmente cuando se trata de documentos provenientes de autoridades públicas.</w:t>
            </w:r>
          </w:p>
          <w:p w14:paraId="690551DE"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p>
          <w:p w14:paraId="6EEAB386"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 xml:space="preserve">En el presente caso, no obstante existir normas y protocolos claros sobre la revisión de documentos, la OFICINA DE REGISTRO DE INSTRUMENTOS PÚBLICOS DE MEDELLÍN – ZONA SUR no realizó los controles requeridos para el registro de documentos oficiales. Esta omisión permitió que se inscribieran las anotaciones Nos. 28, 29 y 30, las cuales alteraban sustancialmente la situación jurídica del inmueble y generaban información contradictoria sobre la titularidad y la libertad de gravámenes, creando una apariencia de legalidad que indujo a mis representados a realizar la inversión. </w:t>
            </w:r>
          </w:p>
          <w:p w14:paraId="3CF610B8"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 xml:space="preserve">De haberse cumplido los controles y procedimientos exigidos, las anotaciones cuestionadas nunca se habrían registrado en el folio de matrícula inmobiliaria, evitando que mis representados efectuaran la adquisición de un inmueble bajo información jurídica falsa o incompleta. Así, la SUPERINTENDENCIA DE NOTARIADO Y REGISTRO incurre en un incumplimiento grave de sus funciones a cargo que constituye una falla del servicio, por cuanto su inobservancia contribuyó de manera directa y eficiente al daño económico y patrimonial sufrido por los demandantes. </w:t>
            </w:r>
          </w:p>
          <w:p w14:paraId="048A0E97"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p>
          <w:p w14:paraId="46EC3231"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 xml:space="preserve">29.3. En relación con la SOCIEDAD DE ACTIVOS ESPECIALES S.A.S., de conformidad con la Ley 1708 de 2014, le correspondía la administración, custodia y conservación del inmueble objeto de controversia. Esta responsabilidad implicaba, entre otros deberes, garantizar que el bien no estuviera en manos de personas no autorizadas y que cualquier </w:t>
            </w:r>
            <w:r w:rsidRPr="009A5785">
              <w:rPr>
                <w:rFonts w:ascii="Arial" w:eastAsiaTheme="minorHAnsi" w:hAnsi="Arial" w:cs="Arial"/>
                <w:i/>
                <w:iCs/>
                <w:color w:val="000000"/>
                <w:lang w:val="es-CO" w:eastAsia="en-US"/>
              </w:rPr>
              <w:lastRenderedPageBreak/>
              <w:t xml:space="preserve">disposición sobre el mismo se realizara conforme a derecho y bajo su supervisión directa. Además, no se evidencia que haya rendido informes oportunos a la Fiscalía General de la Nación sobre la situación del bien. </w:t>
            </w:r>
          </w:p>
          <w:p w14:paraId="6E4E6959"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 xml:space="preserve">No obstante, la SAE incurrió en una omisión grave al permitir que el señor DANILO CARDONA FERRO, aparentemente sostiene vínculos con la sociedad Cáceres y Ferro Finca Raíz S.A., tuviera la tenencia material del inmueble, lo ofreciera públicamente y realizara negociaciones sobre el mismo, pese a que legalmente no estaba autorizado para ello. </w:t>
            </w:r>
          </w:p>
          <w:p w14:paraId="5D24EF4E"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i/>
                <w:iCs/>
                <w:color w:val="000000"/>
                <w:lang w:val="es-CO" w:eastAsia="en-US"/>
              </w:rPr>
              <w:t xml:space="preserve">Esta falta de vigilancia y control constituyó un incumplimiento de los deberes legales y reglamentarios de la SAE, al no evitar que se alterara la situación jurídica del inmueble y se generara una apariencia de legalidad que indujera a terceros a invertir. Así, como consecuencia directa de esta omisión, los demandantes realizaron una inversión de buena fe en la adquisición del inmueble, comenzaron a percibir los rendimientos derivados del arrendamiento y, posteriormente, fueron privados de manera abrupta de la tenencia y posesión del bien, viéndose además obligados a indemnizar los perjuicios ocasionados a los arrendatarios. </w:t>
            </w:r>
          </w:p>
          <w:p w14:paraId="0995D274"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En suma, la actuación negligente de la SAE constituye una falla del servicio, que se encuentra directamente vinculada con los daños económicos, patrimoniales y morales sufridos por los demandantes.</w:t>
            </w:r>
          </w:p>
          <w:p w14:paraId="6CFD7573" w14:textId="008501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 xml:space="preserve"> </w:t>
            </w:r>
          </w:p>
          <w:p w14:paraId="528FAF1E"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b/>
                <w:bCs/>
                <w:i/>
                <w:iCs/>
                <w:color w:val="000000"/>
                <w:lang w:val="es-CO" w:eastAsia="en-US"/>
              </w:rPr>
              <w:t xml:space="preserve">TRIGÉSIMO. </w:t>
            </w:r>
            <w:r w:rsidRPr="009A5785">
              <w:rPr>
                <w:rFonts w:ascii="Arial" w:eastAsiaTheme="minorHAnsi" w:hAnsi="Arial" w:cs="Arial"/>
                <w:i/>
                <w:iCs/>
                <w:color w:val="000000"/>
                <w:lang w:val="es-CO" w:eastAsia="en-US"/>
              </w:rPr>
              <w:t xml:space="preserve">Al respecto, el 18 de julio de 2025, en las cuentas oficiales de la Sociedad de Activos Especiales S.A.S., se publicó un video en el cual su Presidenta, la Dra. Amelia Pérez Parra, reconoció públicamente la participación irregular de sus propios agentes en la entrega de predios a terceros, afirmando textualmente: </w:t>
            </w:r>
          </w:p>
          <w:p w14:paraId="6D3DF2EE"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i/>
                <w:iCs/>
                <w:color w:val="000000"/>
                <w:lang w:val="es-CO" w:eastAsia="en-US"/>
              </w:rPr>
              <w:t xml:space="preserve">“Vamos a poner en conocimiento de la comunidad, de la sociedad, lo que ha estado sucediendo desde que se hicieron denuncias por hechos irregulares, por parte tanto de funcionarios, incluso desgraciadamente por algunos funcionarios activos de la SAE, donde se están entregando predios, tanto rurales como urbanos, a diferentes entidades, organizaciones y demás, pero que estos son totalmente ilegales, ilícitos y ha generado que nosotros con las denuncias llevemos a que los jueces de la república hayan ordenado las capturas de estas personas.” </w:t>
            </w:r>
          </w:p>
          <w:p w14:paraId="3D774697"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p>
          <w:p w14:paraId="7C9D76EA"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b/>
                <w:bCs/>
                <w:i/>
                <w:iCs/>
                <w:color w:val="000000"/>
                <w:lang w:val="es-CO" w:eastAsia="en-US"/>
              </w:rPr>
              <w:t xml:space="preserve">TRIGÉSIMO PRIMERO. </w:t>
            </w:r>
            <w:r w:rsidRPr="009A5785">
              <w:rPr>
                <w:rFonts w:ascii="Arial" w:eastAsiaTheme="minorHAnsi" w:hAnsi="Arial" w:cs="Arial"/>
                <w:i/>
                <w:iCs/>
                <w:color w:val="000000"/>
                <w:lang w:val="es-CO" w:eastAsia="en-US"/>
              </w:rPr>
              <w:t xml:space="preserve">Asimismo, pese a que la Sociedad de Activos Especiales S.A.S., con su omisión, permitió que, siendo un bien susceptible de posesión y no un bien fiscal, la SAE, en lugar de recurrir a las acciones policivas y posesorias expresamente previstas en la ley, ordenó el desalojo mediante una actuación ejecutiva, desconociendo las garantías mínimas del debido proceso que asisten a mi representados y afectando directamente su derecho a la tenencia y disfrute del inmueble. </w:t>
            </w:r>
          </w:p>
          <w:p w14:paraId="0327C1E1" w14:textId="477EE234"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b/>
                <w:bCs/>
                <w:i/>
                <w:iCs/>
                <w:color w:val="000000"/>
                <w:lang w:val="es-CO" w:eastAsia="en-US"/>
              </w:rPr>
              <w:lastRenderedPageBreak/>
              <w:t xml:space="preserve">TRIGÉSIMO SEGUNDO. </w:t>
            </w:r>
            <w:r w:rsidRPr="008F4D73">
              <w:rPr>
                <w:rFonts w:ascii="Arial" w:eastAsiaTheme="minorHAnsi" w:hAnsi="Arial" w:cs="Arial"/>
                <w:i/>
                <w:iCs/>
                <w:color w:val="000000"/>
                <w:lang w:val="es-CO" w:eastAsia="en-US"/>
              </w:rPr>
              <w:t xml:space="preserve">Asimismo, se evidencia que desde el 18 de enero de 2022 la Sociedad de Activos Especiales S.A.S. había entregado el inmueble objeto de controversia en depósito provisional a la SOCIEDAD CÁCERES Y FERRO FINCA RAÍZ S.A., lo cual llama poderosamente la atención que, además de este bien, la SAE le había confiado otros 476 inmuebles, y que, a pesar de ello, la sociedad depositaria no realizaba visitas periódicas a los predios ni presentaba informes sobre la gestión y administración de los mismos, incumpliendo de manera manifiesta sus funciones legales como depositario. De manera que, esta falta de supervisión y control por parte de la SAE permitió que terceros ejercieran tenencia y disposición sobre los bienes, incluida la actuación irregular del señor Danilo Cardona Ferro, generando un riesgo jurídico que </w:t>
            </w:r>
            <w:r w:rsidRPr="009A5785">
              <w:rPr>
                <w:rFonts w:ascii="Arial" w:eastAsiaTheme="minorHAnsi" w:hAnsi="Arial" w:cs="Arial"/>
                <w:i/>
                <w:iCs/>
                <w:color w:val="000000"/>
                <w:lang w:val="es-CO" w:eastAsia="en-US"/>
              </w:rPr>
              <w:t xml:space="preserve">finalmente se materializó en los perjuicios económicos y patrimoniales sufridos por los demandantes. </w:t>
            </w:r>
          </w:p>
          <w:p w14:paraId="6FB35B04"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p>
          <w:p w14:paraId="27458837"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b/>
                <w:bCs/>
                <w:i/>
                <w:iCs/>
                <w:color w:val="000000"/>
                <w:lang w:val="es-CO" w:eastAsia="en-US"/>
              </w:rPr>
              <w:t xml:space="preserve">TRIGÉSIMO TERCERO. </w:t>
            </w:r>
            <w:r w:rsidRPr="009A5785">
              <w:rPr>
                <w:rFonts w:ascii="Arial" w:eastAsiaTheme="minorHAnsi" w:hAnsi="Arial" w:cs="Arial"/>
                <w:i/>
                <w:iCs/>
                <w:color w:val="000000"/>
                <w:lang w:val="es-CO" w:eastAsia="en-US"/>
              </w:rPr>
              <w:t xml:space="preserve">A pesar de que la Sociedad de Activos Especiales S.A.S. tuvo conocimiento de los incumplimientos de la sociedad Cáceres y Ferro Finca Raíz S.A. desde el 30 de agosto de 2023, no adoptó medidas correctivas ni realizó seguimiento efectivo sobre la situación del inmueble. Por el contrario, la entidad permaneció inactiva hasta más de dos años después, cuando mediante la Resolución 645 del 27 de noviembre de 2025 decidió remover a Cáceres y Ferro de su calidad de depositaria provisional. Para ese momento, sin embargo, el daño ya se había consumado en cabeza de los demandantes, quienes habían perdido la tenencia y posesión del inmueble, sufriendo perjuicios económicos y patrimoniales directamente atribuibles a la omisión prolongada de la SAE en el cumplimiento de sus funciones de custodia y control. </w:t>
            </w:r>
          </w:p>
          <w:p w14:paraId="75E25161"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p>
          <w:p w14:paraId="318777A8"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b/>
                <w:bCs/>
                <w:i/>
                <w:iCs/>
                <w:color w:val="000000"/>
                <w:lang w:val="es-CO" w:eastAsia="en-US"/>
              </w:rPr>
              <w:t xml:space="preserve">TRIGÉSIMO CUARTO. </w:t>
            </w:r>
            <w:r w:rsidRPr="009A5785">
              <w:rPr>
                <w:rFonts w:ascii="Arial" w:eastAsiaTheme="minorHAnsi" w:hAnsi="Arial" w:cs="Arial"/>
                <w:i/>
                <w:iCs/>
                <w:color w:val="000000"/>
                <w:lang w:val="es-CO" w:eastAsia="en-US"/>
              </w:rPr>
              <w:t xml:space="preserve">Esta situación ha generado en los demandantes un profundo estado de angustia, impotencia y zozobra, derivado de la pérdida de la totalidad de la inversión realizada en el inmueble, así como de los múltiples gastos adicionales en que han debido incurrir para mitigar los efectos de la privación de la tenencia y posesión, pues está claro que todos estos perjuicios se originaron como consecuencia directa de la acción y omisión de los agentes de las entidades demandadas, quienes, al incumplir sus deberes legales y de control, provocaron la situación que los demandantes no tenían la obligación de soportar. En consecuencia, dichos daños constituyen un perjuicio antijurídico susceptible de indemnización conforme a los principios de responsabilidad patrimonial del Estado y de reparación integral del daño. </w:t>
            </w:r>
          </w:p>
          <w:p w14:paraId="1DD38026"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p>
          <w:p w14:paraId="35063210"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9A5785">
              <w:rPr>
                <w:rFonts w:ascii="Arial" w:eastAsiaTheme="minorHAnsi" w:hAnsi="Arial" w:cs="Arial"/>
                <w:b/>
                <w:bCs/>
                <w:i/>
                <w:iCs/>
                <w:color w:val="000000"/>
                <w:lang w:val="es-CO" w:eastAsia="en-US"/>
              </w:rPr>
              <w:t xml:space="preserve">TRIGÉSIMO QUINTO. </w:t>
            </w:r>
            <w:r w:rsidRPr="009A5785">
              <w:rPr>
                <w:rFonts w:ascii="Arial" w:eastAsiaTheme="minorHAnsi" w:hAnsi="Arial" w:cs="Arial"/>
                <w:i/>
                <w:iCs/>
                <w:color w:val="000000"/>
                <w:lang w:val="es-CO" w:eastAsia="en-US"/>
              </w:rPr>
              <w:t xml:space="preserve">En definitiva, si los demandantes, Luis Armando Beleño y Lydia Da Mota, actuaron de buena fe, realizando un estudio de títulos del inmueble y contratando asesoría legal especializada para verificar la situación jurídica del bien objeto de compraventa, entonces su inversión debía contar con la seguridad jurídica mínima que brinda el registro público y las actuaciones de las autoridades competentes, incluyendo la </w:t>
            </w:r>
            <w:r w:rsidRPr="009A5785">
              <w:rPr>
                <w:rFonts w:ascii="Arial" w:eastAsiaTheme="minorHAnsi" w:hAnsi="Arial" w:cs="Arial"/>
                <w:i/>
                <w:iCs/>
                <w:color w:val="000000"/>
                <w:lang w:val="es-CO" w:eastAsia="en-US"/>
              </w:rPr>
              <w:lastRenderedPageBreak/>
              <w:t xml:space="preserve">correcta administración y custodia del inmueble por parte de la Sociedad de Activos Especiales S.A.S., la supervisión y control de la Fiscalía General de la Nación en los procesos de extinción de dominio, la vigilancia de la Superintendencia de Notariado y Registro sobre los procedimientos registrales, y la debida diligencia de la Notaría Sexta del Círculo de Medellín. </w:t>
            </w:r>
          </w:p>
          <w:p w14:paraId="3D4DE194" w14:textId="77777777" w:rsidR="009A5785" w:rsidRPr="009A5785" w:rsidRDefault="009A5785" w:rsidP="009A5785">
            <w:pPr>
              <w:autoSpaceDE w:val="0"/>
              <w:autoSpaceDN w:val="0"/>
              <w:adjustRightInd w:val="0"/>
              <w:jc w:val="both"/>
              <w:rPr>
                <w:rFonts w:ascii="Arial" w:eastAsiaTheme="minorHAnsi" w:hAnsi="Arial" w:cs="Arial"/>
                <w:i/>
                <w:iCs/>
                <w:color w:val="000000"/>
                <w:lang w:val="es-CO" w:eastAsia="en-US"/>
              </w:rPr>
            </w:pPr>
          </w:p>
          <w:p w14:paraId="5C37B505"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b/>
                <w:bCs/>
                <w:i/>
                <w:iCs/>
                <w:color w:val="000000"/>
                <w:lang w:val="es-CO" w:eastAsia="en-US"/>
              </w:rPr>
              <w:t xml:space="preserve">TRIGÉSIMO SEXTO. </w:t>
            </w:r>
            <w:r w:rsidRPr="008F4D73">
              <w:rPr>
                <w:rFonts w:ascii="Arial" w:eastAsiaTheme="minorHAnsi" w:hAnsi="Arial" w:cs="Arial"/>
                <w:i/>
                <w:iCs/>
                <w:color w:val="000000"/>
                <w:lang w:val="es-CO" w:eastAsia="en-US"/>
              </w:rPr>
              <w:t xml:space="preserve">Pero, no obstante esta buena fe: (i) La SOCIEDAD DE ACTIVOS ESPECIALES S.A.S. incumplió su deber legal de administración y custodia, permitiendo que el señor Danilo Cardona Ferro tuviera la tenencia material del inmueble, lo ofreciera públicamente y realizara negociaciones sobre él, sin rendir informes, sin supervisar la actuación de su depositario provisional y omitiendo acciones para proteger la tenencia de los adquirentes de buena fe; posteriormente, ejecutó de manera arbitraria el desalojo de los demandantes, vulnerando sus garantías de debido proceso y de posesión pacífica; (ii) La </w:t>
            </w:r>
            <w:r w:rsidRPr="008F4D73">
              <w:rPr>
                <w:rFonts w:ascii="Arial" w:eastAsiaTheme="minorHAnsi" w:hAnsi="Arial" w:cs="Arial"/>
                <w:b/>
                <w:bCs/>
                <w:i/>
                <w:iCs/>
                <w:color w:val="000000"/>
                <w:lang w:val="es-CO" w:eastAsia="en-US"/>
              </w:rPr>
              <w:t>FISCALÍA GENERAL DE LA NACIÓN</w:t>
            </w:r>
            <w:r w:rsidRPr="008F4D73">
              <w:rPr>
                <w:rFonts w:ascii="Arial" w:eastAsiaTheme="minorHAnsi" w:hAnsi="Arial" w:cs="Arial"/>
                <w:i/>
                <w:iCs/>
                <w:color w:val="000000"/>
                <w:lang w:val="es-CO" w:eastAsia="en-US"/>
              </w:rPr>
              <w:t xml:space="preserve">, como autoridad encargada del proceso de extinción de dominio, no verificó ni supervisó que las medidas provisionales sobre el bien se cumplieran correctamente, ni que la transferencia de dominio “autorizada” por la SAE se ajustara a derecho, permitiendo que terceros actuaran sobre el inmueble generando información contradictoria que inducía a error a los adquirentes; (iii) La </w:t>
            </w:r>
            <w:r w:rsidRPr="008F4D73">
              <w:rPr>
                <w:rFonts w:ascii="Arial" w:eastAsiaTheme="minorHAnsi" w:hAnsi="Arial" w:cs="Arial"/>
                <w:b/>
                <w:bCs/>
                <w:i/>
                <w:iCs/>
                <w:color w:val="000000"/>
                <w:lang w:val="es-CO" w:eastAsia="en-US"/>
              </w:rPr>
              <w:t xml:space="preserve">SUPERINTENDENCIA DE NOTARIADO Y REGISTRO </w:t>
            </w:r>
            <w:r w:rsidRPr="008F4D73">
              <w:rPr>
                <w:rFonts w:ascii="Arial" w:eastAsiaTheme="minorHAnsi" w:hAnsi="Arial" w:cs="Arial"/>
                <w:i/>
                <w:iCs/>
                <w:color w:val="000000"/>
                <w:lang w:val="es-CO" w:eastAsia="en-US"/>
              </w:rPr>
              <w:t xml:space="preserve">incurrió en omisión de control y supervisión sobre la Oficina de Registro de Instrumentos Públicos de Medellín – Zona Sur, permitiendo que se inscribieran las anotaciones 28, 29 y 30, las cuales alteraban la situación jurídica del inmueble y creaban apariencia de legalidad que indujo a los demandantes a invertir. Además, la Notaría Sexta del Círculo de Medellín, en su calidad de prestadora del servicio público delegado, protocolizó la escritura de compraventa sin advertir las inconsistencias y antecedentes registrales que afectaban la validez y seguridad jurídica del acto, contribuyendo a la apariencia de legalidad que indujo a los demandantes a realizar la inversión; (iv) La </w:t>
            </w:r>
            <w:r w:rsidRPr="008F4D73">
              <w:rPr>
                <w:rFonts w:ascii="Arial" w:eastAsiaTheme="minorHAnsi" w:hAnsi="Arial" w:cs="Arial"/>
                <w:b/>
                <w:bCs/>
                <w:i/>
                <w:iCs/>
                <w:color w:val="000000"/>
                <w:lang w:val="es-CO" w:eastAsia="en-US"/>
              </w:rPr>
              <w:t>SOCIEDAD CACERES Y FERRO FINCA RAÍZ S.A.</w:t>
            </w:r>
            <w:r w:rsidRPr="008F4D73">
              <w:rPr>
                <w:rFonts w:ascii="Arial" w:eastAsiaTheme="minorHAnsi" w:hAnsi="Arial" w:cs="Arial"/>
                <w:i/>
                <w:iCs/>
                <w:color w:val="000000"/>
                <w:lang w:val="es-CO" w:eastAsia="en-US"/>
              </w:rPr>
              <w:t xml:space="preserve">, como depositaria provisional del inmueble, incumplió sus funciones de vigilancia y administración, no realizando visitas ni informes sobre el bien, y facilitando de manera indirecta que Danilo Cardona Ferro ejerciera actos de disposición sobre el inmueble. Lo anterior aunado a que presuntamente hay una relación entre esta sociedad y el señor Danilo Cardona y, (v) el señor </w:t>
            </w:r>
            <w:r w:rsidRPr="008F4D73">
              <w:rPr>
                <w:rFonts w:ascii="Arial" w:eastAsiaTheme="minorHAnsi" w:hAnsi="Arial" w:cs="Arial"/>
                <w:b/>
                <w:bCs/>
                <w:i/>
                <w:iCs/>
                <w:color w:val="000000"/>
                <w:lang w:val="es-CO" w:eastAsia="en-US"/>
              </w:rPr>
              <w:t>DANILO CARDONA FERRO</w:t>
            </w:r>
            <w:r w:rsidRPr="008F4D73">
              <w:rPr>
                <w:rFonts w:ascii="Arial" w:eastAsiaTheme="minorHAnsi" w:hAnsi="Arial" w:cs="Arial"/>
                <w:i/>
                <w:iCs/>
                <w:color w:val="000000"/>
                <w:lang w:val="es-CO" w:eastAsia="en-US"/>
              </w:rPr>
              <w:t xml:space="preserve">, aprovechando la omisión y negligencia de las entidades públicas y del depositario provisional, ejerció actos de tenencia y disposición sobre el inmueble que aparentaban legalidad, generando un perjuicio directo sobre los demandantes, quienes confiaron en la validez de los actos registrales y en la actuación de las autoridades competentes. </w:t>
            </w:r>
          </w:p>
          <w:p w14:paraId="13601C30" w14:textId="77777777" w:rsidR="009A5785" w:rsidRPr="008F4D73" w:rsidRDefault="009A5785" w:rsidP="009A5785">
            <w:pPr>
              <w:autoSpaceDE w:val="0"/>
              <w:autoSpaceDN w:val="0"/>
              <w:adjustRightInd w:val="0"/>
              <w:jc w:val="both"/>
              <w:rPr>
                <w:rFonts w:ascii="Arial" w:eastAsiaTheme="minorHAnsi" w:hAnsi="Arial" w:cs="Arial"/>
                <w:i/>
                <w:iCs/>
                <w:color w:val="000000"/>
                <w:lang w:val="es-CO" w:eastAsia="en-US"/>
              </w:rPr>
            </w:pPr>
          </w:p>
          <w:p w14:paraId="66AF4A22" w14:textId="735B3E93" w:rsidR="006737A4" w:rsidRPr="008F4D73" w:rsidRDefault="009A5785" w:rsidP="009A5785">
            <w:pPr>
              <w:autoSpaceDE w:val="0"/>
              <w:autoSpaceDN w:val="0"/>
              <w:adjustRightInd w:val="0"/>
              <w:jc w:val="both"/>
              <w:rPr>
                <w:rFonts w:ascii="Arial" w:eastAsiaTheme="minorHAnsi" w:hAnsi="Arial" w:cs="Arial"/>
                <w:i/>
                <w:iCs/>
                <w:color w:val="000000"/>
                <w:lang w:val="es-CO" w:eastAsia="en-US"/>
              </w:rPr>
            </w:pPr>
            <w:r w:rsidRPr="008F4D73">
              <w:rPr>
                <w:rFonts w:ascii="Arial" w:eastAsiaTheme="minorHAnsi" w:hAnsi="Arial" w:cs="Arial"/>
                <w:b/>
                <w:bCs/>
                <w:i/>
                <w:iCs/>
                <w:color w:val="000000"/>
                <w:lang w:val="es-CO" w:eastAsia="en-US"/>
              </w:rPr>
              <w:t xml:space="preserve">VIGÉSIMO SÉPTIMO. </w:t>
            </w:r>
            <w:r w:rsidRPr="008F4D73">
              <w:rPr>
                <w:rFonts w:ascii="Arial" w:eastAsiaTheme="minorHAnsi" w:hAnsi="Arial" w:cs="Arial"/>
                <w:i/>
                <w:iCs/>
                <w:color w:val="000000"/>
                <w:lang w:val="es-CO" w:eastAsia="en-US"/>
              </w:rPr>
              <w:t xml:space="preserve">En consecuencia, si los demandantes invirtieron recursos significativos en un inmueble cuyo registro y situación jurídica les daba apariencia de </w:t>
            </w:r>
            <w:r w:rsidRPr="008F4D73">
              <w:rPr>
                <w:rFonts w:ascii="Arial" w:eastAsiaTheme="minorHAnsi" w:hAnsi="Arial" w:cs="Arial"/>
                <w:i/>
                <w:iCs/>
                <w:color w:val="000000"/>
                <w:lang w:val="es-CO" w:eastAsia="en-US"/>
              </w:rPr>
              <w:lastRenderedPageBreak/>
              <w:t>legalidad, y no obstante ello las actuaciones y omisiones de la SAE, la Fiscalía, la Superintendencia, la Notaría y la sociedad depositaria permitieron la disposición irregular del inmueble por Danilo Cardona Ferro, entonces se produjo una vulneración directa de los derechos patrimoniales y morales de los demandantes, generando daños emergentes, lucro cesante y perjuicio moral que deben ser reconocidos e indemnizados, en virtud del principio de responsabilidad patrimonial del Estado y de reparación integral del daño</w:t>
            </w:r>
            <w:r w:rsidR="000B7480" w:rsidRPr="008F4D73">
              <w:rPr>
                <w:rFonts w:ascii="Arial" w:eastAsiaTheme="minorHAnsi" w:hAnsi="Arial" w:cs="Arial"/>
                <w:i/>
                <w:iCs/>
                <w:color w:val="000000"/>
                <w:lang w:eastAsia="en-US"/>
              </w:rPr>
              <w:t>]”</w:t>
            </w:r>
            <w:r w:rsidR="00F72765" w:rsidRPr="008F4D73">
              <w:rPr>
                <w:rFonts w:ascii="Arial" w:eastAsiaTheme="minorHAnsi" w:hAnsi="Arial" w:cs="Arial"/>
                <w:i/>
                <w:iCs/>
                <w:color w:val="000000"/>
                <w:lang w:eastAsia="en-US"/>
              </w:rPr>
              <w:t>.</w:t>
            </w:r>
          </w:p>
          <w:p w14:paraId="1A40F679" w14:textId="27A04A42" w:rsidR="006737A4" w:rsidRPr="008F4D73" w:rsidRDefault="006737A4" w:rsidP="00F05703">
            <w:pPr>
              <w:tabs>
                <w:tab w:val="left" w:pos="7513"/>
              </w:tabs>
              <w:spacing w:line="276" w:lineRule="auto"/>
              <w:jc w:val="both"/>
              <w:rPr>
                <w:rFonts w:ascii="Arial" w:hAnsi="Arial" w:cs="Arial"/>
                <w:b/>
                <w:bCs/>
              </w:rPr>
            </w:pPr>
          </w:p>
          <w:p w14:paraId="3F37D209" w14:textId="37C7F6BE" w:rsidR="008D2342" w:rsidRPr="008F4D73" w:rsidRDefault="008D2342" w:rsidP="00FC43AA">
            <w:pPr>
              <w:numPr>
                <w:ilvl w:val="0"/>
                <w:numId w:val="37"/>
              </w:numPr>
              <w:tabs>
                <w:tab w:val="left" w:pos="7513"/>
              </w:tabs>
              <w:spacing w:line="276" w:lineRule="auto"/>
              <w:ind w:left="720" w:hanging="360"/>
              <w:jc w:val="center"/>
              <w:rPr>
                <w:rFonts w:ascii="Arial" w:hAnsi="Arial" w:cs="Arial"/>
                <w:bCs/>
              </w:rPr>
            </w:pPr>
            <w:r w:rsidRPr="008F4D73">
              <w:rPr>
                <w:rFonts w:ascii="Arial" w:hAnsi="Arial" w:cs="Arial"/>
                <w:b/>
                <w:bCs/>
              </w:rPr>
              <w:t>SOPORTE PROBATORIO</w:t>
            </w:r>
          </w:p>
          <w:p w14:paraId="19E8C0A5" w14:textId="6FD4CC3F" w:rsidR="008D2342" w:rsidRPr="008F4D73" w:rsidRDefault="008D2342" w:rsidP="008D2342">
            <w:pPr>
              <w:tabs>
                <w:tab w:val="left" w:pos="7513"/>
              </w:tabs>
              <w:spacing w:line="276" w:lineRule="auto"/>
              <w:jc w:val="both"/>
              <w:rPr>
                <w:rFonts w:ascii="Arial" w:hAnsi="Arial" w:cs="Arial"/>
                <w:bCs/>
              </w:rPr>
            </w:pPr>
          </w:p>
          <w:p w14:paraId="11333A88" w14:textId="29B3ADD5" w:rsidR="008D2342" w:rsidRPr="008F4D73" w:rsidRDefault="008D2342" w:rsidP="008D2342">
            <w:pPr>
              <w:tabs>
                <w:tab w:val="left" w:pos="7513"/>
              </w:tabs>
              <w:spacing w:line="276" w:lineRule="auto"/>
              <w:jc w:val="both"/>
              <w:rPr>
                <w:rFonts w:ascii="Arial" w:hAnsi="Arial" w:cs="Arial"/>
                <w:bCs/>
              </w:rPr>
            </w:pPr>
            <w:r w:rsidRPr="008F4D73">
              <w:rPr>
                <w:rFonts w:ascii="Arial" w:hAnsi="Arial" w:cs="Arial"/>
                <w:bCs/>
              </w:rPr>
              <w:t>Como elementos de prueba fueron allegados los siguientes:</w:t>
            </w:r>
          </w:p>
          <w:p w14:paraId="6D207FA5" w14:textId="77777777" w:rsidR="000B7480" w:rsidRPr="008F4D73" w:rsidRDefault="000B7480" w:rsidP="008D2342">
            <w:pPr>
              <w:tabs>
                <w:tab w:val="left" w:pos="7513"/>
              </w:tabs>
              <w:spacing w:line="276" w:lineRule="auto"/>
              <w:jc w:val="both"/>
              <w:rPr>
                <w:rFonts w:ascii="Arial" w:hAnsi="Arial" w:cs="Arial"/>
                <w:bCs/>
              </w:rPr>
            </w:pPr>
          </w:p>
          <w:p w14:paraId="61941FA7" w14:textId="77777777" w:rsidR="00C53450" w:rsidRPr="008F4D73" w:rsidRDefault="000B7480" w:rsidP="00C53450">
            <w:pPr>
              <w:autoSpaceDE w:val="0"/>
              <w:autoSpaceDN w:val="0"/>
              <w:adjustRightInd w:val="0"/>
              <w:jc w:val="both"/>
              <w:rPr>
                <w:rFonts w:ascii="Arial" w:eastAsiaTheme="minorHAnsi" w:hAnsi="Arial" w:cs="Arial"/>
                <w:bCs/>
                <w:i/>
                <w:color w:val="000000"/>
                <w:lang w:val="es-CO" w:eastAsia="en-US"/>
              </w:rPr>
            </w:pPr>
            <w:r w:rsidRPr="008F4D73">
              <w:rPr>
                <w:rFonts w:ascii="Arial" w:eastAsiaTheme="minorHAnsi" w:hAnsi="Arial" w:cs="Arial"/>
                <w:b/>
                <w:bCs/>
                <w:i/>
                <w:color w:val="000000"/>
                <w:lang w:eastAsia="en-US"/>
              </w:rPr>
              <w:t>“[</w:t>
            </w:r>
            <w:r w:rsidR="00C53450" w:rsidRPr="008F4D73">
              <w:rPr>
                <w:rFonts w:ascii="Arial" w:eastAsiaTheme="minorHAnsi" w:hAnsi="Arial" w:cs="Arial"/>
                <w:b/>
                <w:bCs/>
                <w:i/>
                <w:color w:val="000000"/>
                <w:lang w:val="es-CO" w:eastAsia="en-US"/>
              </w:rPr>
              <w:t xml:space="preserve">DOCUMENTALES: </w:t>
            </w:r>
          </w:p>
          <w:p w14:paraId="0A8F321F"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Folio de matrícula inmobiliaria No. 001-315387 de la Oficina de Registro de Instrumentos Públicos de Medellín – Zona Sur, expedido para la fecha de la celebración del negocio. </w:t>
            </w:r>
          </w:p>
          <w:p w14:paraId="32828AAE"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Oficio 72861 del 06 de octubre de 2021 expedido la Fiscalía General de la Nación. </w:t>
            </w:r>
          </w:p>
          <w:p w14:paraId="550F109F"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Resolución 0045 del 18 de enero de 2022 expedida por la Sociedad de Activos Especiales S.A.S. </w:t>
            </w:r>
          </w:p>
          <w:p w14:paraId="3DFD94AE"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Resolución 887 del 16 de junio de 2022 expedida por la Sociedad de Activos Especiales S.A.S. a través de la cual se autorizó la enajenación temprana del inmueble. </w:t>
            </w:r>
          </w:p>
          <w:p w14:paraId="443DA6C9"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Oficio 113F-41 del 27 de julio de 2023 de la Fiscalía General de la Nación. </w:t>
            </w:r>
          </w:p>
          <w:p w14:paraId="0C34431E"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Resolución 772 del 23 de mayo de 2023 expedida por la Sociedad de Activos Especiales S.A.S. </w:t>
            </w:r>
          </w:p>
          <w:p w14:paraId="4BFF7E0F"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Oficio 214 F-41 del 04 de agosto de 2023 expedido por la Fiscalía General de la Nación. </w:t>
            </w:r>
          </w:p>
          <w:p w14:paraId="2393ED14"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Estudio de títulos contratado por los esposos Beleño previa a la adquisición del inmueble. </w:t>
            </w:r>
          </w:p>
          <w:p w14:paraId="7CFAD3C1"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Promesa de compraventa suscrita 09 de agosto de 2023 </w:t>
            </w:r>
          </w:p>
          <w:p w14:paraId="3D9A9BDC"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Comprobante de pago del 22 de agosto de 2023 por la suma de doscientos veinte millones de pesos ($220.000.000). </w:t>
            </w:r>
          </w:p>
          <w:p w14:paraId="6F5A0D6D"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Comprobante de pago del 25 de agosto de 2023 por la suma de ciento sesenta millones de pesos ($160.000.000). </w:t>
            </w:r>
          </w:p>
          <w:p w14:paraId="6CC20BE0"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Comprobante de pago del 15 de noviembre de 2023 por la suma de trescientos sesenta millones de pesos ($360.000.000). </w:t>
            </w:r>
          </w:p>
          <w:p w14:paraId="6B4E8530"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Escritura pública de compraventa No. 4908 del 30 de octubre de 2023 de la Notaría Sexta de Medellín. </w:t>
            </w:r>
          </w:p>
          <w:p w14:paraId="3E58632C"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Constancia de radicación de la escritura para inscripción ante ORIP Medellín – Zona Sur. </w:t>
            </w:r>
          </w:p>
          <w:p w14:paraId="5FE155A4"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Contrato de administración comercial con la sociedad Confort Gestores Inmobiliarias S.A.S. suscrito el 11 de abril de 2024. </w:t>
            </w:r>
          </w:p>
          <w:p w14:paraId="629F596E" w14:textId="77777777" w:rsidR="00C53450" w:rsidRPr="00C53450" w:rsidRDefault="00C53450" w:rsidP="00C53450">
            <w:pPr>
              <w:numPr>
                <w:ilvl w:val="0"/>
                <w:numId w:val="40"/>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Contrato de arrendamiento de arrendamiento del 22 de abril de 2024 suscrito por Confort Gestores Inmobiliarios S.A.S. </w:t>
            </w:r>
          </w:p>
          <w:p w14:paraId="365C1898" w14:textId="77777777" w:rsidR="00C53450" w:rsidRPr="00C53450" w:rsidRDefault="00C53450" w:rsidP="00C53450">
            <w:pPr>
              <w:autoSpaceDE w:val="0"/>
              <w:autoSpaceDN w:val="0"/>
              <w:adjustRightInd w:val="0"/>
              <w:jc w:val="both"/>
              <w:rPr>
                <w:rFonts w:ascii="Arial" w:eastAsiaTheme="minorHAnsi" w:hAnsi="Arial" w:cs="Arial"/>
                <w:bCs/>
                <w:i/>
                <w:color w:val="000000"/>
                <w:lang w:val="es-CO" w:eastAsia="en-US"/>
              </w:rPr>
            </w:pPr>
          </w:p>
          <w:p w14:paraId="06285B29"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lastRenderedPageBreak/>
              <w:t xml:space="preserve">Comunicación del 18 de abril de 2024 de parte de la Oficina de Registro de Instrumentos Públicos de Medellín – Zona Sur. </w:t>
            </w:r>
          </w:p>
          <w:p w14:paraId="553DE280"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Nota devolutiva del 16 de abril de 2024 </w:t>
            </w:r>
          </w:p>
          <w:p w14:paraId="42272197"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Folio de matrícula inmobiliaria No. 001-315387 de la Oficina de Registro de Instrumentos Públicos de Medellín – Zona Sur, expedido con posterioridad a la nota devolutiva. </w:t>
            </w:r>
          </w:p>
          <w:p w14:paraId="72407691"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Resolución 113 del 20 de febrero de 2024 expedida por la Registradora Principal de Instrumentos Públicos de Medellín – Zona Sur. </w:t>
            </w:r>
          </w:p>
          <w:p w14:paraId="2E119B47"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Comunicación del 30 de agosto de 2024 del Director Territorial Occidente de la SAE. </w:t>
            </w:r>
          </w:p>
          <w:p w14:paraId="747EBD58"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Acta de visita del 25 de noviembre de 2024 de la SAE. </w:t>
            </w:r>
          </w:p>
          <w:p w14:paraId="3D32CEE8"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Acta de diligencia de desalojo. </w:t>
            </w:r>
          </w:p>
          <w:p w14:paraId="61387086"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Contrato de transacción del 06 de mayo de 2025. </w:t>
            </w:r>
          </w:p>
          <w:p w14:paraId="4D41A124"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Constancias de pago del contrato de transacción. </w:t>
            </w:r>
          </w:p>
          <w:p w14:paraId="69CFC176"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Comunicado oficial del 18 de julio de 2025 publicado en las cuentas oficiales de la SAE. </w:t>
            </w:r>
          </w:p>
          <w:p w14:paraId="623DAE79" w14:textId="77777777" w:rsidR="00C53450" w:rsidRPr="00C53450" w:rsidRDefault="00C53450" w:rsidP="00C53450">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 xml:space="preserve">Resolución 645 del 27 de noviembre de 2025 resolvió remover a Cáceres y Ferro Finca Raíz S.A. de su calidad de depositaria provisional. </w:t>
            </w:r>
          </w:p>
          <w:p w14:paraId="64BF9974" w14:textId="3B740242" w:rsidR="006F2917" w:rsidRPr="008F4D73" w:rsidRDefault="00C53450" w:rsidP="009E2302">
            <w:pPr>
              <w:numPr>
                <w:ilvl w:val="0"/>
                <w:numId w:val="41"/>
              </w:numPr>
              <w:autoSpaceDE w:val="0"/>
              <w:autoSpaceDN w:val="0"/>
              <w:adjustRightInd w:val="0"/>
              <w:jc w:val="both"/>
              <w:rPr>
                <w:rFonts w:ascii="Arial" w:eastAsiaTheme="minorHAnsi" w:hAnsi="Arial" w:cs="Arial"/>
                <w:bCs/>
                <w:i/>
                <w:color w:val="000000"/>
                <w:lang w:val="es-CO" w:eastAsia="en-US"/>
              </w:rPr>
            </w:pPr>
            <w:r w:rsidRPr="00C53450">
              <w:rPr>
                <w:rFonts w:ascii="Arial" w:eastAsiaTheme="minorHAnsi" w:hAnsi="Arial" w:cs="Arial"/>
                <w:bCs/>
                <w:i/>
                <w:color w:val="000000"/>
                <w:lang w:val="es-CO" w:eastAsia="en-US"/>
              </w:rPr>
              <w:t>Gastos de registro y protocolización de la escritura pública de compraventa</w:t>
            </w:r>
            <w:r w:rsidR="007D6F1A" w:rsidRPr="008F4D73">
              <w:rPr>
                <w:rFonts w:ascii="Arial" w:eastAsiaTheme="minorHAnsi" w:hAnsi="Arial" w:cs="Arial"/>
                <w:bCs/>
                <w:i/>
                <w:color w:val="000000"/>
                <w:lang w:eastAsia="en-US"/>
              </w:rPr>
              <w:t>]”.</w:t>
            </w:r>
          </w:p>
          <w:p w14:paraId="471CB39E" w14:textId="77777777" w:rsidR="00B6313C" w:rsidRPr="008F4D73" w:rsidRDefault="00B6313C" w:rsidP="009E2302">
            <w:pPr>
              <w:autoSpaceDE w:val="0"/>
              <w:autoSpaceDN w:val="0"/>
              <w:adjustRightInd w:val="0"/>
              <w:jc w:val="both"/>
              <w:rPr>
                <w:rFonts w:ascii="Arial" w:eastAsiaTheme="minorHAnsi" w:hAnsi="Arial" w:cs="Arial"/>
                <w:bCs/>
                <w:i/>
                <w:color w:val="000000"/>
                <w:lang w:eastAsia="en-US"/>
              </w:rPr>
            </w:pPr>
          </w:p>
          <w:p w14:paraId="095A0CA2" w14:textId="269DA2D7" w:rsidR="00A66721" w:rsidRPr="008F4D73" w:rsidRDefault="00A66721" w:rsidP="0007336F">
            <w:pPr>
              <w:widowControl w:val="0"/>
              <w:spacing w:line="276" w:lineRule="auto"/>
              <w:jc w:val="both"/>
              <w:rPr>
                <w:rFonts w:ascii="Arial" w:eastAsia="Courier New" w:hAnsi="Arial" w:cs="Arial"/>
                <w:color w:val="000000"/>
                <w:lang w:bidi="es-ES"/>
              </w:rPr>
            </w:pPr>
          </w:p>
          <w:p w14:paraId="203D7011" w14:textId="126AB38D" w:rsidR="00B6313C" w:rsidRPr="008F4D73" w:rsidRDefault="00B6313C" w:rsidP="00FC43AA">
            <w:pPr>
              <w:pStyle w:val="Prrafodelista"/>
              <w:widowControl w:val="0"/>
              <w:numPr>
                <w:ilvl w:val="0"/>
                <w:numId w:val="37"/>
              </w:numPr>
              <w:spacing w:line="276" w:lineRule="auto"/>
              <w:ind w:hanging="360"/>
              <w:jc w:val="center"/>
              <w:rPr>
                <w:rFonts w:ascii="Arial" w:eastAsia="Courier New" w:hAnsi="Arial" w:cs="Arial"/>
                <w:color w:val="000000"/>
                <w:lang w:bidi="es-ES"/>
              </w:rPr>
            </w:pPr>
            <w:r w:rsidRPr="008F4D73">
              <w:rPr>
                <w:rFonts w:ascii="Arial" w:eastAsia="Courier New" w:hAnsi="Arial" w:cs="Arial"/>
                <w:b/>
                <w:bCs/>
                <w:color w:val="000000"/>
                <w:lang w:bidi="es-ES"/>
              </w:rPr>
              <w:t>CUMPLIMIENTO DE REQUISITOS</w:t>
            </w:r>
          </w:p>
          <w:p w14:paraId="4C5A6BCB" w14:textId="1FED2F77"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Designación del funcionario a quien se dirige: </w:t>
            </w:r>
          </w:p>
          <w:p w14:paraId="43E63525" w14:textId="77777777" w:rsidR="00B6313C" w:rsidRPr="008F4D73" w:rsidRDefault="00B6313C" w:rsidP="00B6313C">
            <w:pPr>
              <w:pStyle w:val="Sinespaciado"/>
              <w:ind w:left="708"/>
              <w:jc w:val="both"/>
              <w:rPr>
                <w:rFonts w:ascii="Arial" w:hAnsi="Arial" w:cs="Arial"/>
                <w:b/>
                <w:sz w:val="24"/>
                <w:szCs w:val="24"/>
                <w:lang w:val="es-ES_tradnl"/>
              </w:rPr>
            </w:pPr>
            <w:r w:rsidRPr="008F4D73">
              <w:rPr>
                <w:rFonts w:ascii="Arial" w:hAnsi="Arial" w:cs="Arial"/>
                <w:sz w:val="24"/>
                <w:szCs w:val="24"/>
                <w:lang w:val="es-ES_tradnl"/>
              </w:rPr>
              <w:t>Si.</w:t>
            </w:r>
          </w:p>
          <w:p w14:paraId="7191A395" w14:textId="77777777" w:rsidR="00B6313C" w:rsidRPr="008F4D73" w:rsidRDefault="00B6313C" w:rsidP="00B6313C">
            <w:pPr>
              <w:pStyle w:val="Sinespaciado"/>
              <w:jc w:val="both"/>
              <w:rPr>
                <w:rFonts w:ascii="Arial" w:hAnsi="Arial" w:cs="Arial"/>
                <w:b/>
                <w:sz w:val="24"/>
                <w:szCs w:val="24"/>
                <w:lang w:val="es-ES_tradnl"/>
              </w:rPr>
            </w:pPr>
          </w:p>
          <w:p w14:paraId="7B3D6E7B" w14:textId="0D68E3C2"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Individualización de las partes y sus representantes:</w:t>
            </w:r>
          </w:p>
          <w:p w14:paraId="7EC45F7D" w14:textId="77777777" w:rsidR="00B6313C" w:rsidRPr="008F4D73" w:rsidRDefault="00B6313C" w:rsidP="00B6313C">
            <w:pPr>
              <w:pStyle w:val="Sinespaciado"/>
              <w:ind w:left="708"/>
              <w:jc w:val="both"/>
              <w:rPr>
                <w:rFonts w:ascii="Arial" w:hAnsi="Arial" w:cs="Arial"/>
                <w:b/>
                <w:sz w:val="24"/>
                <w:szCs w:val="24"/>
                <w:lang w:val="es-ES_tradnl"/>
              </w:rPr>
            </w:pPr>
            <w:r w:rsidRPr="008F4D73">
              <w:rPr>
                <w:rFonts w:ascii="Arial" w:hAnsi="Arial" w:cs="Arial"/>
                <w:sz w:val="24"/>
                <w:szCs w:val="24"/>
                <w:lang w:val="es-ES_tradnl"/>
              </w:rPr>
              <w:t>Si.</w:t>
            </w:r>
          </w:p>
          <w:p w14:paraId="4E903386" w14:textId="77777777" w:rsidR="00B6313C" w:rsidRPr="008F4D73" w:rsidRDefault="00B6313C" w:rsidP="00B6313C">
            <w:pPr>
              <w:pStyle w:val="Sinespaciado"/>
              <w:jc w:val="both"/>
              <w:rPr>
                <w:rFonts w:ascii="Arial" w:hAnsi="Arial" w:cs="Arial"/>
                <w:b/>
                <w:sz w:val="24"/>
                <w:szCs w:val="24"/>
                <w:lang w:val="es-ES_tradnl"/>
              </w:rPr>
            </w:pPr>
          </w:p>
          <w:p w14:paraId="0D1571ED" w14:textId="77777777"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Aspectos que se quieren conciliar y los hechos en que se fundamentan: </w:t>
            </w:r>
          </w:p>
          <w:p w14:paraId="0AC04733" w14:textId="77777777" w:rsidR="00B6313C" w:rsidRPr="008F4D73" w:rsidRDefault="00B6313C" w:rsidP="00B6313C">
            <w:pPr>
              <w:pStyle w:val="Sinespaciado"/>
              <w:ind w:left="708"/>
              <w:jc w:val="both"/>
              <w:rPr>
                <w:rFonts w:ascii="Arial" w:hAnsi="Arial" w:cs="Arial"/>
                <w:b/>
                <w:sz w:val="24"/>
                <w:szCs w:val="24"/>
                <w:lang w:val="es-ES_tradnl"/>
              </w:rPr>
            </w:pPr>
            <w:r w:rsidRPr="008F4D73">
              <w:rPr>
                <w:rFonts w:ascii="Arial" w:hAnsi="Arial" w:cs="Arial"/>
                <w:sz w:val="24"/>
                <w:szCs w:val="24"/>
                <w:lang w:val="es-ES_tradnl"/>
              </w:rPr>
              <w:t>Si.</w:t>
            </w:r>
          </w:p>
          <w:p w14:paraId="0D78288D" w14:textId="77777777" w:rsidR="00B6313C" w:rsidRPr="008F4D73" w:rsidRDefault="00B6313C" w:rsidP="00B6313C">
            <w:pPr>
              <w:pStyle w:val="Sinespaciado"/>
              <w:jc w:val="both"/>
              <w:rPr>
                <w:rFonts w:ascii="Arial" w:hAnsi="Arial" w:cs="Arial"/>
                <w:b/>
                <w:sz w:val="24"/>
                <w:szCs w:val="24"/>
                <w:lang w:val="es-ES_tradnl"/>
              </w:rPr>
            </w:pPr>
          </w:p>
          <w:p w14:paraId="55B86577" w14:textId="77777777"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Pretensiones que formula el convocante: </w:t>
            </w:r>
          </w:p>
          <w:p w14:paraId="1E196192" w14:textId="77777777" w:rsidR="00B6313C" w:rsidRPr="008F4D73" w:rsidRDefault="00B6313C" w:rsidP="00B6313C">
            <w:pPr>
              <w:pStyle w:val="Sinespaciado"/>
              <w:ind w:left="708"/>
              <w:jc w:val="both"/>
              <w:rPr>
                <w:rFonts w:ascii="Arial" w:hAnsi="Arial" w:cs="Arial"/>
                <w:b/>
                <w:sz w:val="24"/>
                <w:szCs w:val="24"/>
                <w:lang w:val="es-ES_tradnl"/>
              </w:rPr>
            </w:pPr>
            <w:r w:rsidRPr="008F4D73">
              <w:rPr>
                <w:rFonts w:ascii="Arial" w:hAnsi="Arial" w:cs="Arial"/>
                <w:sz w:val="24"/>
                <w:szCs w:val="24"/>
                <w:lang w:val="es-ES_tradnl"/>
              </w:rPr>
              <w:t>Si.</w:t>
            </w:r>
          </w:p>
          <w:p w14:paraId="4EC0E1A0" w14:textId="77777777" w:rsidR="00B6313C" w:rsidRPr="008F4D73" w:rsidRDefault="00B6313C" w:rsidP="00B6313C">
            <w:pPr>
              <w:pStyle w:val="Sinespaciado"/>
              <w:jc w:val="both"/>
              <w:rPr>
                <w:rFonts w:ascii="Arial" w:hAnsi="Arial" w:cs="Arial"/>
                <w:b/>
                <w:sz w:val="24"/>
                <w:szCs w:val="24"/>
                <w:lang w:val="es-ES_tradnl"/>
              </w:rPr>
            </w:pPr>
          </w:p>
          <w:p w14:paraId="589C8AD2" w14:textId="77777777"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Indicación de la acción contencioso - administrativa que se ejerce: </w:t>
            </w:r>
          </w:p>
          <w:p w14:paraId="08867003" w14:textId="37DE6D4C" w:rsidR="00B6313C" w:rsidRPr="008F4D73" w:rsidRDefault="00B6313C" w:rsidP="00B6313C">
            <w:pPr>
              <w:pStyle w:val="Sinespaciado"/>
              <w:ind w:left="708"/>
              <w:jc w:val="both"/>
              <w:rPr>
                <w:rFonts w:ascii="Arial" w:hAnsi="Arial" w:cs="Arial"/>
                <w:b/>
                <w:sz w:val="24"/>
                <w:szCs w:val="24"/>
                <w:lang w:val="es-ES_tradnl"/>
              </w:rPr>
            </w:pPr>
            <w:r w:rsidRPr="008F4D73">
              <w:rPr>
                <w:rFonts w:ascii="Arial" w:hAnsi="Arial" w:cs="Arial"/>
                <w:sz w:val="24"/>
                <w:szCs w:val="24"/>
                <w:lang w:val="es-ES_tradnl"/>
              </w:rPr>
              <w:t>Si., Reparación directa.</w:t>
            </w:r>
          </w:p>
          <w:p w14:paraId="2883CEC6" w14:textId="77777777" w:rsidR="00B6313C" w:rsidRPr="008F4D73" w:rsidRDefault="00B6313C" w:rsidP="00B6313C">
            <w:pPr>
              <w:pStyle w:val="Sinespaciado"/>
              <w:jc w:val="both"/>
              <w:rPr>
                <w:rFonts w:ascii="Arial" w:hAnsi="Arial" w:cs="Arial"/>
                <w:b/>
                <w:sz w:val="24"/>
                <w:szCs w:val="24"/>
                <w:highlight w:val="yellow"/>
                <w:lang w:val="es-ES_tradnl"/>
              </w:rPr>
            </w:pPr>
          </w:p>
          <w:p w14:paraId="63A057CC" w14:textId="77777777"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Relación de las pruebas que se acompañan y de las que se harían valer en el proceso: </w:t>
            </w:r>
          </w:p>
          <w:p w14:paraId="19550D18" w14:textId="77777777" w:rsidR="00B6313C" w:rsidRPr="008F4D73" w:rsidRDefault="00B6313C" w:rsidP="00B6313C">
            <w:pPr>
              <w:pStyle w:val="Sinespaciado"/>
              <w:ind w:left="708"/>
              <w:jc w:val="both"/>
              <w:rPr>
                <w:rFonts w:ascii="Arial" w:hAnsi="Arial" w:cs="Arial"/>
                <w:b/>
                <w:sz w:val="24"/>
                <w:szCs w:val="24"/>
                <w:lang w:val="es-ES_tradnl"/>
              </w:rPr>
            </w:pPr>
            <w:r w:rsidRPr="008F4D73">
              <w:rPr>
                <w:rFonts w:ascii="Arial" w:hAnsi="Arial" w:cs="Arial"/>
                <w:sz w:val="24"/>
                <w:szCs w:val="24"/>
                <w:lang w:val="es-ES_tradnl"/>
              </w:rPr>
              <w:t>Si.</w:t>
            </w:r>
          </w:p>
          <w:p w14:paraId="6EE41F58" w14:textId="77777777" w:rsidR="00B6313C" w:rsidRPr="008F4D73" w:rsidRDefault="00B6313C" w:rsidP="00B6313C">
            <w:pPr>
              <w:pStyle w:val="Sinespaciado"/>
              <w:jc w:val="both"/>
              <w:rPr>
                <w:rFonts w:ascii="Arial" w:hAnsi="Arial" w:cs="Arial"/>
                <w:b/>
                <w:sz w:val="24"/>
                <w:szCs w:val="24"/>
                <w:highlight w:val="yellow"/>
                <w:lang w:val="es-ES_tradnl"/>
              </w:rPr>
            </w:pPr>
          </w:p>
          <w:p w14:paraId="409353B4" w14:textId="77777777"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Demostración del agotamiento de la actuación administrativa: </w:t>
            </w:r>
          </w:p>
          <w:p w14:paraId="6EFEE70C" w14:textId="77777777" w:rsidR="00B6313C" w:rsidRPr="008F4D73" w:rsidRDefault="00B6313C" w:rsidP="00B6313C">
            <w:pPr>
              <w:pStyle w:val="Sinespaciado"/>
              <w:ind w:left="708"/>
              <w:jc w:val="both"/>
              <w:rPr>
                <w:rFonts w:ascii="Arial" w:hAnsi="Arial" w:cs="Arial"/>
                <w:sz w:val="24"/>
                <w:szCs w:val="24"/>
                <w:lang w:val="es-ES_tradnl"/>
              </w:rPr>
            </w:pPr>
            <w:r w:rsidRPr="008F4D73">
              <w:rPr>
                <w:rFonts w:ascii="Arial" w:hAnsi="Arial" w:cs="Arial"/>
                <w:sz w:val="24"/>
                <w:szCs w:val="24"/>
                <w:lang w:val="es-ES_tradnl"/>
              </w:rPr>
              <w:lastRenderedPageBreak/>
              <w:t>Si</w:t>
            </w:r>
          </w:p>
          <w:p w14:paraId="43F29C37" w14:textId="77777777" w:rsidR="00B6313C" w:rsidRPr="008F4D73" w:rsidRDefault="00B6313C" w:rsidP="00B6313C">
            <w:pPr>
              <w:pStyle w:val="Sinespaciado"/>
              <w:jc w:val="both"/>
              <w:rPr>
                <w:rFonts w:ascii="Arial" w:hAnsi="Arial" w:cs="Arial"/>
                <w:b/>
                <w:sz w:val="24"/>
                <w:szCs w:val="24"/>
                <w:highlight w:val="yellow"/>
                <w:lang w:val="es-ES_tradnl"/>
              </w:rPr>
            </w:pPr>
          </w:p>
          <w:p w14:paraId="23FBCC82" w14:textId="5E87478A"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Estimación razonada de la cuantía: </w:t>
            </w:r>
            <w:r w:rsidR="00BB3231" w:rsidRPr="008F4D73">
              <w:rPr>
                <w:rFonts w:ascii="Arial" w:eastAsiaTheme="minorHAnsi" w:hAnsi="Arial" w:cs="Arial"/>
                <w:i/>
                <w:iCs/>
                <w:sz w:val="24"/>
                <w:szCs w:val="24"/>
                <w:lang w:val="es-ES" w:bidi="es-CO"/>
              </w:rPr>
              <w:t>Setecientos Cuarenta Millones de Pesos</w:t>
            </w:r>
            <w:r w:rsidRPr="008F4D73">
              <w:rPr>
                <w:rFonts w:ascii="Arial" w:eastAsiaTheme="minorHAnsi" w:hAnsi="Arial" w:cs="Arial"/>
                <w:i/>
                <w:iCs/>
                <w:sz w:val="24"/>
                <w:szCs w:val="24"/>
                <w:lang w:val="es-ES" w:bidi="es-CO"/>
              </w:rPr>
              <w:t xml:space="preserve"> ($</w:t>
            </w:r>
            <w:r w:rsidR="00BB3231" w:rsidRPr="008F4D73">
              <w:rPr>
                <w:rFonts w:ascii="Arial" w:eastAsiaTheme="minorHAnsi" w:hAnsi="Arial" w:cs="Arial"/>
                <w:i/>
                <w:iCs/>
                <w:sz w:val="24"/>
                <w:szCs w:val="24"/>
                <w:lang w:val="es-ES" w:bidi="es-CO"/>
              </w:rPr>
              <w:t>740.000.000</w:t>
            </w:r>
            <w:r w:rsidRPr="008F4D73">
              <w:rPr>
                <w:rFonts w:ascii="Arial" w:eastAsiaTheme="minorHAnsi" w:hAnsi="Arial" w:cs="Arial"/>
                <w:i/>
                <w:iCs/>
                <w:sz w:val="24"/>
                <w:szCs w:val="24"/>
                <w:lang w:val="es-ES" w:bidi="es-CO"/>
              </w:rPr>
              <w:t xml:space="preserve"> m/cte.). </w:t>
            </w:r>
          </w:p>
          <w:p w14:paraId="319E2549" w14:textId="77777777" w:rsidR="00B6313C" w:rsidRPr="008F4D73" w:rsidRDefault="00B6313C" w:rsidP="00B6313C">
            <w:pPr>
              <w:pStyle w:val="Sinespaciado"/>
              <w:jc w:val="both"/>
              <w:rPr>
                <w:rFonts w:ascii="Arial" w:hAnsi="Arial" w:cs="Arial"/>
                <w:b/>
                <w:sz w:val="24"/>
                <w:szCs w:val="24"/>
                <w:highlight w:val="yellow"/>
                <w:lang w:val="es-ES_tradnl"/>
              </w:rPr>
            </w:pPr>
          </w:p>
          <w:p w14:paraId="0DE159B1" w14:textId="77777777"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Manifestación bajo la novedad de juramento de no haber presentado demandas o solicitudes de conciliación con base en los mismos hechos: </w:t>
            </w:r>
          </w:p>
          <w:p w14:paraId="193A9333" w14:textId="77777777" w:rsidR="00B6313C" w:rsidRPr="008F4D73" w:rsidRDefault="00B6313C" w:rsidP="00B6313C">
            <w:pPr>
              <w:pStyle w:val="Sinespaciado"/>
              <w:ind w:left="720"/>
              <w:jc w:val="both"/>
              <w:rPr>
                <w:rFonts w:ascii="Arial" w:hAnsi="Arial" w:cs="Arial"/>
                <w:sz w:val="24"/>
                <w:szCs w:val="24"/>
                <w:lang w:val="es-ES_tradnl"/>
              </w:rPr>
            </w:pPr>
            <w:r w:rsidRPr="008F4D73">
              <w:rPr>
                <w:rFonts w:ascii="Arial" w:hAnsi="Arial" w:cs="Arial"/>
                <w:sz w:val="24"/>
                <w:szCs w:val="24"/>
                <w:lang w:val="es-ES_tradnl"/>
              </w:rPr>
              <w:t>Si</w:t>
            </w:r>
          </w:p>
          <w:p w14:paraId="772DD255" w14:textId="77777777" w:rsidR="00B6313C" w:rsidRPr="008F4D73" w:rsidRDefault="00B6313C" w:rsidP="00B6313C">
            <w:pPr>
              <w:pStyle w:val="Sinespaciado"/>
              <w:ind w:left="720"/>
              <w:jc w:val="both"/>
              <w:rPr>
                <w:rFonts w:ascii="Arial" w:hAnsi="Arial" w:cs="Arial"/>
                <w:b/>
                <w:sz w:val="24"/>
                <w:szCs w:val="24"/>
                <w:highlight w:val="yellow"/>
                <w:lang w:val="es-ES_tradnl"/>
              </w:rPr>
            </w:pPr>
          </w:p>
          <w:p w14:paraId="33EAF9AC" w14:textId="77777777"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Indicación del lugar para que se surtan las notificaciones, el número o números telefónicos, número de fax y correo electrónico de las partes: </w:t>
            </w:r>
          </w:p>
          <w:p w14:paraId="5878F973" w14:textId="77777777" w:rsidR="00B6313C" w:rsidRPr="008F4D73" w:rsidRDefault="00B6313C" w:rsidP="00B6313C">
            <w:pPr>
              <w:pStyle w:val="Sinespaciado"/>
              <w:jc w:val="both"/>
              <w:rPr>
                <w:rFonts w:ascii="Arial" w:hAnsi="Arial" w:cs="Arial"/>
                <w:bCs/>
                <w:sz w:val="24"/>
                <w:szCs w:val="24"/>
                <w:lang w:val="es-ES_tradnl"/>
              </w:rPr>
            </w:pPr>
          </w:p>
          <w:p w14:paraId="5B2C42D2" w14:textId="01BEE6D0" w:rsidR="00B6313C" w:rsidRPr="008F4D73" w:rsidRDefault="00B6313C" w:rsidP="00B6313C">
            <w:pPr>
              <w:pStyle w:val="Sinespaciado"/>
              <w:ind w:left="720"/>
              <w:jc w:val="both"/>
              <w:rPr>
                <w:rFonts w:ascii="Arial" w:hAnsi="Arial" w:cs="Arial"/>
                <w:bCs/>
                <w:sz w:val="24"/>
                <w:szCs w:val="24"/>
                <w:lang w:val="es-ES_tradnl"/>
              </w:rPr>
            </w:pPr>
            <w:r w:rsidRPr="008F4D73">
              <w:rPr>
                <w:rFonts w:ascii="Arial" w:hAnsi="Arial" w:cs="Arial"/>
                <w:bCs/>
                <w:sz w:val="24"/>
                <w:szCs w:val="24"/>
                <w:lang w:val="es-ES_tradnl"/>
              </w:rPr>
              <w:t>Se acredito este requisito</w:t>
            </w:r>
          </w:p>
          <w:p w14:paraId="4C0C48D5" w14:textId="77777777" w:rsidR="00B6313C" w:rsidRPr="008F4D73" w:rsidRDefault="00B6313C" w:rsidP="00B6313C">
            <w:pPr>
              <w:pStyle w:val="Sinespaciado"/>
              <w:ind w:left="720"/>
              <w:jc w:val="both"/>
              <w:rPr>
                <w:rFonts w:ascii="Arial" w:hAnsi="Arial" w:cs="Arial"/>
                <w:b/>
                <w:sz w:val="24"/>
                <w:szCs w:val="24"/>
                <w:lang w:val="es-ES_tradnl"/>
              </w:rPr>
            </w:pPr>
            <w:r w:rsidRPr="008F4D73">
              <w:rPr>
                <w:rFonts w:ascii="Arial" w:hAnsi="Arial" w:cs="Arial"/>
                <w:bCs/>
                <w:sz w:val="24"/>
                <w:szCs w:val="24"/>
                <w:lang w:val="es-ES_tradnl"/>
              </w:rPr>
              <w:t xml:space="preserve"> </w:t>
            </w:r>
          </w:p>
          <w:p w14:paraId="0E52E55B" w14:textId="77777777" w:rsidR="00B6313C" w:rsidRPr="008F4D73" w:rsidRDefault="00B6313C" w:rsidP="00BB3231">
            <w:pPr>
              <w:pStyle w:val="Sinespaciado"/>
              <w:widowControl w:val="0"/>
              <w:numPr>
                <w:ilvl w:val="0"/>
                <w:numId w:val="42"/>
              </w:numPr>
              <w:jc w:val="both"/>
              <w:rPr>
                <w:rFonts w:ascii="Arial" w:hAnsi="Arial" w:cs="Arial"/>
                <w:b/>
                <w:sz w:val="24"/>
                <w:szCs w:val="24"/>
                <w:lang w:val="es-ES_tradnl"/>
              </w:rPr>
            </w:pPr>
            <w:r w:rsidRPr="008F4D73">
              <w:rPr>
                <w:rFonts w:ascii="Arial" w:hAnsi="Arial" w:cs="Arial"/>
                <w:b/>
                <w:sz w:val="24"/>
                <w:szCs w:val="24"/>
                <w:lang w:val="es-ES_tradnl"/>
              </w:rPr>
              <w:t xml:space="preserve">La firma del abogado del solicitante o solicitantes: </w:t>
            </w:r>
          </w:p>
          <w:p w14:paraId="1D357C99" w14:textId="77777777" w:rsidR="00B6313C" w:rsidRPr="008F4D73" w:rsidRDefault="00B6313C" w:rsidP="00B6313C">
            <w:pPr>
              <w:tabs>
                <w:tab w:val="left" w:pos="7513"/>
              </w:tabs>
              <w:ind w:left="708"/>
              <w:jc w:val="both"/>
              <w:rPr>
                <w:rFonts w:ascii="Arial" w:hAnsi="Arial" w:cs="Arial"/>
              </w:rPr>
            </w:pPr>
            <w:r w:rsidRPr="008F4D73">
              <w:rPr>
                <w:rFonts w:ascii="Arial" w:hAnsi="Arial" w:cs="Arial"/>
              </w:rPr>
              <w:t xml:space="preserve">Si. </w:t>
            </w:r>
          </w:p>
          <w:p w14:paraId="56542CBF" w14:textId="77777777" w:rsidR="009E2302" w:rsidRPr="008F4D73" w:rsidRDefault="009E2302" w:rsidP="0007336F">
            <w:pPr>
              <w:widowControl w:val="0"/>
              <w:spacing w:line="276" w:lineRule="auto"/>
              <w:jc w:val="both"/>
              <w:rPr>
                <w:rFonts w:ascii="Arial" w:eastAsia="Courier New" w:hAnsi="Arial" w:cs="Arial"/>
                <w:color w:val="000000"/>
                <w:lang w:bidi="es-ES"/>
              </w:rPr>
            </w:pPr>
          </w:p>
          <w:p w14:paraId="5F561FA4" w14:textId="0E273494" w:rsidR="008D2342" w:rsidRPr="008F4D73" w:rsidRDefault="008D2342" w:rsidP="00BB3231">
            <w:pPr>
              <w:pStyle w:val="Prrafodelista"/>
              <w:numPr>
                <w:ilvl w:val="0"/>
                <w:numId w:val="43"/>
              </w:numPr>
              <w:autoSpaceDE w:val="0"/>
              <w:autoSpaceDN w:val="0"/>
              <w:adjustRightInd w:val="0"/>
              <w:spacing w:line="276" w:lineRule="auto"/>
              <w:jc w:val="center"/>
              <w:rPr>
                <w:rFonts w:ascii="Arial" w:hAnsi="Arial" w:cs="Arial"/>
                <w:b/>
                <w:lang w:eastAsia="es-CO"/>
              </w:rPr>
            </w:pPr>
            <w:r w:rsidRPr="008F4D73">
              <w:rPr>
                <w:rFonts w:ascii="Arial" w:hAnsi="Arial" w:cs="Arial"/>
                <w:b/>
                <w:lang w:eastAsia="es-CO"/>
              </w:rPr>
              <w:t>ANALISIS</w:t>
            </w:r>
            <w:r w:rsidR="00990BAB" w:rsidRPr="008F4D73">
              <w:rPr>
                <w:rFonts w:ascii="Arial" w:hAnsi="Arial" w:cs="Arial"/>
                <w:b/>
                <w:lang w:eastAsia="es-CO"/>
              </w:rPr>
              <w:t xml:space="preserve"> Y CONCEPTO PARA CONCILIAR</w:t>
            </w:r>
          </w:p>
          <w:p w14:paraId="0608B571" w14:textId="77777777" w:rsidR="008D2342" w:rsidRPr="008F4D73" w:rsidRDefault="008D2342" w:rsidP="008D2342">
            <w:pPr>
              <w:autoSpaceDE w:val="0"/>
              <w:autoSpaceDN w:val="0"/>
              <w:adjustRightInd w:val="0"/>
              <w:spacing w:line="276" w:lineRule="auto"/>
              <w:jc w:val="both"/>
              <w:rPr>
                <w:rFonts w:ascii="Arial" w:hAnsi="Arial" w:cs="Arial"/>
                <w:lang w:eastAsia="es-CO"/>
              </w:rPr>
            </w:pPr>
          </w:p>
          <w:p w14:paraId="3E93ABB3" w14:textId="1FBD65A9" w:rsidR="00990BAB" w:rsidRPr="008F4D73" w:rsidRDefault="008F4D73" w:rsidP="002337DB">
            <w:pPr>
              <w:pStyle w:val="Prrafodelista"/>
              <w:numPr>
                <w:ilvl w:val="0"/>
                <w:numId w:val="44"/>
              </w:numPr>
              <w:tabs>
                <w:tab w:val="left" w:pos="7513"/>
              </w:tabs>
              <w:spacing w:line="276" w:lineRule="auto"/>
              <w:jc w:val="both"/>
              <w:rPr>
                <w:rFonts w:ascii="Arial" w:hAnsi="Arial" w:cs="Arial"/>
                <w:b/>
                <w:bCs/>
              </w:rPr>
            </w:pPr>
            <w:r w:rsidRPr="008F4D73">
              <w:rPr>
                <w:rFonts w:ascii="Arial" w:hAnsi="Arial" w:cs="Arial"/>
                <w:b/>
                <w:bCs/>
              </w:rPr>
              <w:t xml:space="preserve">Problema jurídico: </w:t>
            </w:r>
          </w:p>
          <w:p w14:paraId="3CCD690E" w14:textId="77777777" w:rsidR="00A37E37" w:rsidRPr="008F4D73" w:rsidRDefault="00A37E37" w:rsidP="00990BAB">
            <w:pPr>
              <w:tabs>
                <w:tab w:val="left" w:pos="7513"/>
              </w:tabs>
              <w:spacing w:line="276" w:lineRule="auto"/>
              <w:jc w:val="both"/>
              <w:rPr>
                <w:rFonts w:ascii="Arial" w:hAnsi="Arial" w:cs="Arial"/>
                <w:b/>
                <w:bCs/>
              </w:rPr>
            </w:pPr>
          </w:p>
          <w:p w14:paraId="516E942D" w14:textId="77777777" w:rsidR="002337DB" w:rsidRPr="002337DB" w:rsidRDefault="002337DB" w:rsidP="002337DB">
            <w:pPr>
              <w:tabs>
                <w:tab w:val="left" w:pos="7513"/>
              </w:tabs>
              <w:spacing w:line="276" w:lineRule="auto"/>
              <w:jc w:val="both"/>
              <w:rPr>
                <w:rFonts w:ascii="Arial" w:hAnsi="Arial" w:cs="Arial"/>
                <w:bCs/>
                <w:lang w:val="es-CO"/>
              </w:rPr>
            </w:pPr>
            <w:r w:rsidRPr="002337DB">
              <w:rPr>
                <w:rFonts w:ascii="Arial" w:hAnsi="Arial" w:cs="Arial"/>
                <w:bCs/>
                <w:lang w:val="es-CO"/>
              </w:rPr>
              <w:t>En el presente asunto corresponde determinar si la Superintendencia de Notariado y Registro, entidad descentralizada de carácter técnico, con personería jurídica y autonomía administrativa, financiera y patrimonial, incurrió en responsabilidad patrimonial del Estado, en los términos del artículo 90 de la Constitución Política de Colombia, como consecuencia de la inscripción de las anotaciones Nos. 28, 29 y 30 en el folio de matrícula inmobiliaria No. 001-315387.</w:t>
            </w:r>
          </w:p>
          <w:p w14:paraId="1A376E19" w14:textId="555DCC14" w:rsidR="002337DB" w:rsidRPr="002337DB" w:rsidRDefault="002337DB" w:rsidP="002337DB">
            <w:pPr>
              <w:tabs>
                <w:tab w:val="left" w:pos="7513"/>
              </w:tabs>
              <w:spacing w:line="276" w:lineRule="auto"/>
              <w:jc w:val="both"/>
              <w:rPr>
                <w:rFonts w:ascii="Arial" w:hAnsi="Arial" w:cs="Arial"/>
                <w:bCs/>
                <w:lang w:val="es-CO"/>
              </w:rPr>
            </w:pPr>
            <w:r w:rsidRPr="002337DB">
              <w:rPr>
                <w:rFonts w:ascii="Arial" w:hAnsi="Arial" w:cs="Arial"/>
                <w:bCs/>
                <w:lang w:val="es-CO"/>
              </w:rPr>
              <w:t xml:space="preserve">Lo anterior, teniendo en cuenta que dichas anotaciones fueron posteriormente canceladas mediante actuación administrativa y que, según afirma el convocante, su inscripción habría permitido el libre comercio del inmueble, pese a que este </w:t>
            </w:r>
            <w:r w:rsidRPr="008F4D73">
              <w:rPr>
                <w:rFonts w:ascii="Arial" w:hAnsi="Arial" w:cs="Arial"/>
                <w:bCs/>
                <w:lang w:val="es-CO"/>
              </w:rPr>
              <w:t>se encontraba realmente embargado y sobre el cual pesaba prohibición expresa de su enajenación</w:t>
            </w:r>
            <w:r w:rsidRPr="002337DB">
              <w:rPr>
                <w:rFonts w:ascii="Arial" w:hAnsi="Arial" w:cs="Arial"/>
                <w:bCs/>
                <w:lang w:val="es-CO"/>
              </w:rPr>
              <w:t>, circunstancia que habría dado lugar al daño cuya reparación se pretende.</w:t>
            </w:r>
          </w:p>
          <w:p w14:paraId="5B6F92AA" w14:textId="77777777" w:rsidR="00BA77B9" w:rsidRPr="008F4D73" w:rsidRDefault="00BA77B9" w:rsidP="00990BAB">
            <w:pPr>
              <w:tabs>
                <w:tab w:val="left" w:pos="7513"/>
              </w:tabs>
              <w:spacing w:line="276" w:lineRule="auto"/>
              <w:jc w:val="both"/>
              <w:rPr>
                <w:rFonts w:ascii="Arial" w:hAnsi="Arial" w:cs="Arial"/>
                <w:bCs/>
                <w:lang w:val="es-CO"/>
              </w:rPr>
            </w:pPr>
          </w:p>
          <w:p w14:paraId="63EC8750" w14:textId="77777777" w:rsidR="008F4D73" w:rsidRPr="008F4D73" w:rsidRDefault="008F4D73" w:rsidP="008F4D73">
            <w:pPr>
              <w:tabs>
                <w:tab w:val="left" w:pos="7513"/>
              </w:tabs>
              <w:ind w:left="360"/>
              <w:rPr>
                <w:rFonts w:ascii="Arial" w:hAnsi="Arial" w:cs="Arial"/>
                <w:b/>
                <w:bCs/>
              </w:rPr>
            </w:pPr>
            <w:r w:rsidRPr="008F4D73">
              <w:rPr>
                <w:rFonts w:ascii="Arial" w:hAnsi="Arial" w:cs="Arial"/>
                <w:b/>
                <w:bCs/>
              </w:rPr>
              <w:t>2. Análisis de la caducidad:</w:t>
            </w:r>
          </w:p>
          <w:p w14:paraId="040FE5E0" w14:textId="77777777" w:rsidR="008F4D73" w:rsidRPr="008F4D73" w:rsidRDefault="008F4D73" w:rsidP="008F4D73">
            <w:pPr>
              <w:tabs>
                <w:tab w:val="left" w:pos="7513"/>
              </w:tabs>
              <w:ind w:left="360"/>
              <w:rPr>
                <w:rFonts w:ascii="Arial" w:hAnsi="Arial" w:cs="Arial"/>
                <w:b/>
                <w:bCs/>
              </w:rPr>
            </w:pPr>
          </w:p>
          <w:p w14:paraId="70F285BC" w14:textId="77777777" w:rsidR="008F4D73" w:rsidRPr="008F4D73" w:rsidRDefault="008F4D73" w:rsidP="008F4D73">
            <w:pPr>
              <w:pStyle w:val="Sinespaciado"/>
              <w:jc w:val="both"/>
              <w:rPr>
                <w:rFonts w:ascii="Arial" w:hAnsi="Arial" w:cs="Arial"/>
                <w:bCs/>
                <w:iCs/>
                <w:sz w:val="24"/>
                <w:szCs w:val="24"/>
              </w:rPr>
            </w:pPr>
            <w:r w:rsidRPr="008F4D73">
              <w:rPr>
                <w:rFonts w:ascii="Arial" w:hAnsi="Arial" w:cs="Arial"/>
                <w:bCs/>
                <w:iCs/>
                <w:sz w:val="24"/>
                <w:szCs w:val="24"/>
              </w:rPr>
              <w:t xml:space="preserve">De conformidad con el literal i del numeral 2 del artículo 164 CPACA, la demanda de reparación directa debe ser presentada, so pena de que opere la caducidad, dentro del </w:t>
            </w:r>
            <w:r w:rsidRPr="008F4D73">
              <w:rPr>
                <w:rFonts w:ascii="Arial" w:hAnsi="Arial" w:cs="Arial"/>
                <w:bCs/>
                <w:iCs/>
                <w:sz w:val="24"/>
                <w:szCs w:val="24"/>
              </w:rPr>
              <w:lastRenderedPageBreak/>
              <w:t>término de dos años contados a partir del día siguiente al de la ocurrencia de la acción u omisión causante del daño, o de cuando el demandante tuvo o debió tener conocimiento de este si fue en fecha posterior y siempre que pruebe la imposibilidad de haberlo conocido en la fecha de su ocurrencia.</w:t>
            </w:r>
          </w:p>
          <w:p w14:paraId="23016274" w14:textId="77777777" w:rsidR="008F4D73" w:rsidRPr="008F4D73" w:rsidRDefault="008F4D73" w:rsidP="008F4D73">
            <w:pPr>
              <w:pStyle w:val="Sinespaciado"/>
              <w:jc w:val="both"/>
              <w:rPr>
                <w:rFonts w:ascii="Arial" w:hAnsi="Arial" w:cs="Arial"/>
                <w:bCs/>
                <w:i/>
                <w:sz w:val="24"/>
                <w:szCs w:val="24"/>
              </w:rPr>
            </w:pPr>
          </w:p>
          <w:p w14:paraId="072AB803" w14:textId="77777777" w:rsidR="008F4D73" w:rsidRPr="008F4D73" w:rsidRDefault="008F4D73" w:rsidP="008F4D73">
            <w:pPr>
              <w:pStyle w:val="Sinespaciado"/>
              <w:jc w:val="both"/>
              <w:rPr>
                <w:rFonts w:ascii="Arial" w:hAnsi="Arial" w:cs="Arial"/>
                <w:bCs/>
                <w:i/>
                <w:sz w:val="24"/>
                <w:szCs w:val="24"/>
              </w:rPr>
            </w:pPr>
            <w:r w:rsidRPr="008F4D73">
              <w:rPr>
                <w:rFonts w:ascii="Arial" w:hAnsi="Arial" w:cs="Arial"/>
                <w:bCs/>
                <w:i/>
                <w:sz w:val="24"/>
                <w:szCs w:val="24"/>
              </w:rPr>
              <w:t xml:space="preserve">“[ARTÍCULO 164. OPORTUNIDAD PARA PRESENTAR LA DEMANDA. La demanda </w:t>
            </w:r>
          </w:p>
          <w:p w14:paraId="0CE20397" w14:textId="77777777" w:rsidR="008F4D73" w:rsidRPr="008F4D73" w:rsidRDefault="008F4D73" w:rsidP="008F4D73">
            <w:pPr>
              <w:pStyle w:val="Sinespaciado"/>
              <w:jc w:val="both"/>
              <w:rPr>
                <w:rFonts w:ascii="Arial" w:hAnsi="Arial" w:cs="Arial"/>
                <w:bCs/>
                <w:i/>
                <w:sz w:val="24"/>
                <w:szCs w:val="24"/>
              </w:rPr>
            </w:pPr>
            <w:r w:rsidRPr="008F4D73">
              <w:rPr>
                <w:rFonts w:ascii="Arial" w:hAnsi="Arial" w:cs="Arial"/>
                <w:bCs/>
                <w:i/>
                <w:sz w:val="24"/>
                <w:szCs w:val="24"/>
              </w:rPr>
              <w:t>deberá ser presentada: […]</w:t>
            </w:r>
          </w:p>
          <w:p w14:paraId="55B069AF" w14:textId="77777777" w:rsidR="008F4D73" w:rsidRPr="008F4D73" w:rsidRDefault="008F4D73" w:rsidP="008F4D73">
            <w:pPr>
              <w:pStyle w:val="Sinespaciado"/>
              <w:jc w:val="both"/>
              <w:rPr>
                <w:rFonts w:ascii="Arial" w:hAnsi="Arial" w:cs="Arial"/>
                <w:bCs/>
                <w:i/>
                <w:sz w:val="24"/>
                <w:szCs w:val="24"/>
              </w:rPr>
            </w:pPr>
          </w:p>
          <w:p w14:paraId="6BD33065" w14:textId="77777777" w:rsidR="008F4D73" w:rsidRPr="008F4D73" w:rsidRDefault="008F4D73" w:rsidP="008F4D73">
            <w:pPr>
              <w:pStyle w:val="Sinespaciado"/>
              <w:numPr>
                <w:ilvl w:val="0"/>
                <w:numId w:val="45"/>
              </w:numPr>
              <w:jc w:val="both"/>
              <w:rPr>
                <w:rFonts w:ascii="Arial" w:hAnsi="Arial" w:cs="Arial"/>
                <w:bCs/>
                <w:i/>
                <w:sz w:val="24"/>
                <w:szCs w:val="24"/>
              </w:rPr>
            </w:pPr>
            <w:r w:rsidRPr="008F4D73">
              <w:rPr>
                <w:rFonts w:ascii="Arial" w:hAnsi="Arial" w:cs="Arial"/>
                <w:bCs/>
                <w:i/>
                <w:sz w:val="24"/>
                <w:szCs w:val="24"/>
              </w:rPr>
              <w:t>En los siguientes términos, so pena de que opere la caducidad: […]</w:t>
            </w:r>
          </w:p>
          <w:p w14:paraId="1FF47A05" w14:textId="77777777" w:rsidR="008F4D73" w:rsidRPr="008F4D73" w:rsidRDefault="008F4D73" w:rsidP="008F4D73">
            <w:pPr>
              <w:pStyle w:val="Sinespaciado"/>
              <w:ind w:left="720"/>
              <w:jc w:val="both"/>
              <w:rPr>
                <w:rFonts w:ascii="Arial" w:hAnsi="Arial" w:cs="Arial"/>
                <w:bCs/>
                <w:i/>
                <w:sz w:val="24"/>
                <w:szCs w:val="24"/>
              </w:rPr>
            </w:pPr>
          </w:p>
          <w:p w14:paraId="00F9D7E1" w14:textId="77777777" w:rsidR="008F4D73" w:rsidRPr="008F4D73" w:rsidRDefault="008F4D73" w:rsidP="008F4D73">
            <w:pPr>
              <w:pStyle w:val="Sinespaciado"/>
              <w:jc w:val="both"/>
              <w:rPr>
                <w:rFonts w:ascii="Arial" w:hAnsi="Arial" w:cs="Arial"/>
                <w:bCs/>
                <w:i/>
                <w:sz w:val="24"/>
                <w:szCs w:val="24"/>
              </w:rPr>
            </w:pPr>
            <w:r w:rsidRPr="008F4D73">
              <w:rPr>
                <w:rFonts w:ascii="Arial" w:hAnsi="Arial" w:cs="Arial"/>
                <w:bCs/>
                <w:i/>
                <w:sz w:val="24"/>
                <w:szCs w:val="24"/>
              </w:rPr>
              <w:t xml:space="preserve">i) Cuando se pretenda la reparación directa, la demanda deberá presentarse dentro del término de dos (2) años, contados a partir del día siguiente al de la ocurrencia de la acción u omisión causante del daño, o de cuando el demandante tuvo o debió tener conocimiento del mismo si fue en fecha posterior y siempre que pruebe la imposibilidad de haberlo conocido en la fecha de su ocurrencia.]” </w:t>
            </w:r>
          </w:p>
          <w:p w14:paraId="0BDB7FD9" w14:textId="77777777" w:rsidR="008F4D73" w:rsidRPr="008F4D73" w:rsidRDefault="008F4D73" w:rsidP="008F4D73">
            <w:pPr>
              <w:pStyle w:val="Sinespaciado"/>
              <w:jc w:val="both"/>
              <w:rPr>
                <w:rFonts w:ascii="Arial" w:hAnsi="Arial" w:cs="Arial"/>
                <w:bCs/>
                <w:i/>
                <w:sz w:val="24"/>
                <w:szCs w:val="24"/>
              </w:rPr>
            </w:pPr>
          </w:p>
          <w:p w14:paraId="7EC468A5" w14:textId="4A88D3BA" w:rsidR="008F4D73" w:rsidRPr="008F4D73" w:rsidRDefault="008F4D73" w:rsidP="008F4D73">
            <w:pPr>
              <w:pStyle w:val="Sinespaciado"/>
              <w:jc w:val="both"/>
              <w:rPr>
                <w:rFonts w:ascii="Arial" w:hAnsi="Arial" w:cs="Arial"/>
                <w:bCs/>
                <w:iCs/>
                <w:sz w:val="24"/>
                <w:szCs w:val="24"/>
              </w:rPr>
            </w:pPr>
            <w:r w:rsidRPr="008F4D73">
              <w:rPr>
                <w:rFonts w:ascii="Arial" w:hAnsi="Arial" w:cs="Arial"/>
                <w:bCs/>
                <w:iCs/>
                <w:sz w:val="24"/>
                <w:szCs w:val="24"/>
              </w:rPr>
              <w:t xml:space="preserve">Así las cosas, tenemos que para el </w:t>
            </w:r>
            <w:r>
              <w:rPr>
                <w:rFonts w:ascii="Arial" w:hAnsi="Arial" w:cs="Arial"/>
                <w:bCs/>
                <w:iCs/>
                <w:sz w:val="24"/>
                <w:szCs w:val="24"/>
              </w:rPr>
              <w:t>18 de abril de 2024 se les notificó a los convocantes la nota devolutiva de no inscripción de la escritura de compraventa por pesar sobre el inmueble embargo vigente</w:t>
            </w:r>
            <w:r w:rsidRPr="008F4D73">
              <w:rPr>
                <w:rFonts w:ascii="Arial" w:hAnsi="Arial" w:cs="Arial"/>
                <w:bCs/>
                <w:iCs/>
                <w:sz w:val="24"/>
                <w:szCs w:val="24"/>
              </w:rPr>
              <w:t xml:space="preserve">, </w:t>
            </w:r>
            <w:r>
              <w:rPr>
                <w:rFonts w:ascii="Arial" w:hAnsi="Arial" w:cs="Arial"/>
                <w:bCs/>
                <w:iCs/>
                <w:sz w:val="24"/>
                <w:szCs w:val="24"/>
              </w:rPr>
              <w:t xml:space="preserve">fecha en la cual </w:t>
            </w:r>
            <w:r w:rsidRPr="008F4D73">
              <w:rPr>
                <w:rFonts w:ascii="Arial" w:hAnsi="Arial" w:cs="Arial"/>
                <w:bCs/>
                <w:iCs/>
                <w:sz w:val="24"/>
                <w:szCs w:val="24"/>
              </w:rPr>
              <w:t xml:space="preserve">se inicia el cómputo para la caducidad y dado que la solicitud de conciliación fue presentada el </w:t>
            </w:r>
            <w:r w:rsidR="005B5090">
              <w:rPr>
                <w:rFonts w:ascii="Arial" w:hAnsi="Arial" w:cs="Arial"/>
                <w:bCs/>
                <w:iCs/>
                <w:sz w:val="24"/>
                <w:szCs w:val="24"/>
              </w:rPr>
              <w:t>20 de febrero de 2026</w:t>
            </w:r>
            <w:r w:rsidRPr="008F4D73">
              <w:rPr>
                <w:rFonts w:ascii="Arial" w:hAnsi="Arial" w:cs="Arial"/>
                <w:bCs/>
                <w:iCs/>
                <w:sz w:val="24"/>
                <w:szCs w:val="24"/>
              </w:rPr>
              <w:t xml:space="preserve"> la acción de reparación directa se encuentra vigente para ser ejercida. </w:t>
            </w:r>
          </w:p>
          <w:p w14:paraId="4FEF6BDA" w14:textId="77777777" w:rsidR="008F4D73" w:rsidRPr="008F4D73" w:rsidRDefault="008F4D73" w:rsidP="008F4D73">
            <w:pPr>
              <w:tabs>
                <w:tab w:val="left" w:pos="7513"/>
              </w:tabs>
              <w:rPr>
                <w:rFonts w:ascii="Arial" w:hAnsi="Arial" w:cs="Arial"/>
                <w:b/>
                <w:bCs/>
              </w:rPr>
            </w:pPr>
          </w:p>
          <w:p w14:paraId="2F096DA0" w14:textId="77777777" w:rsidR="008F4D73" w:rsidRPr="008F4D73" w:rsidRDefault="008F4D73" w:rsidP="008F4D73">
            <w:pPr>
              <w:tabs>
                <w:tab w:val="left" w:pos="7513"/>
              </w:tabs>
              <w:ind w:left="360"/>
              <w:rPr>
                <w:rFonts w:ascii="Arial" w:hAnsi="Arial" w:cs="Arial"/>
                <w:b/>
                <w:bCs/>
              </w:rPr>
            </w:pPr>
            <w:r w:rsidRPr="008F4D73">
              <w:rPr>
                <w:rFonts w:ascii="Arial" w:hAnsi="Arial" w:cs="Arial"/>
                <w:b/>
                <w:bCs/>
              </w:rPr>
              <w:t>3. Objeto conciliable:</w:t>
            </w:r>
          </w:p>
          <w:p w14:paraId="17BF6E64" w14:textId="77777777" w:rsidR="008F4D73" w:rsidRPr="008F4D73" w:rsidRDefault="008F4D73" w:rsidP="008F4D73">
            <w:pPr>
              <w:tabs>
                <w:tab w:val="left" w:pos="7513"/>
              </w:tabs>
              <w:jc w:val="both"/>
              <w:rPr>
                <w:rFonts w:ascii="Arial" w:hAnsi="Arial" w:cs="Arial"/>
              </w:rPr>
            </w:pPr>
          </w:p>
          <w:p w14:paraId="25FAAEF2" w14:textId="0A2DB3F0" w:rsidR="008F4D73" w:rsidRPr="008F4D73" w:rsidRDefault="008F4D73" w:rsidP="008F4D73">
            <w:pPr>
              <w:tabs>
                <w:tab w:val="left" w:pos="7513"/>
              </w:tabs>
              <w:jc w:val="both"/>
              <w:rPr>
                <w:rFonts w:ascii="Arial" w:hAnsi="Arial" w:cs="Arial"/>
              </w:rPr>
            </w:pPr>
            <w:r w:rsidRPr="008F4D73">
              <w:rPr>
                <w:rFonts w:ascii="Arial" w:hAnsi="Arial" w:cs="Arial"/>
              </w:rPr>
              <w:t>Lo constituye la posibilidad de conciliar o no la declaratoria de responsabilidad sobre la Superintendencia de Notariado y registro por la</w:t>
            </w:r>
            <w:r w:rsidR="005B5090">
              <w:rPr>
                <w:rFonts w:ascii="Arial" w:hAnsi="Arial" w:cs="Arial"/>
              </w:rPr>
              <w:t xml:space="preserve"> inscripción y posterior</w:t>
            </w:r>
            <w:r w:rsidRPr="008F4D73">
              <w:rPr>
                <w:rFonts w:ascii="Arial" w:hAnsi="Arial" w:cs="Arial"/>
              </w:rPr>
              <w:t xml:space="preserve"> cancelación de una</w:t>
            </w:r>
            <w:r w:rsidR="005B5090">
              <w:rPr>
                <w:rFonts w:ascii="Arial" w:hAnsi="Arial" w:cs="Arial"/>
              </w:rPr>
              <w:t>s</w:t>
            </w:r>
            <w:r w:rsidRPr="008F4D73">
              <w:rPr>
                <w:rFonts w:ascii="Arial" w:hAnsi="Arial" w:cs="Arial"/>
              </w:rPr>
              <w:t xml:space="preserve"> anotaci</w:t>
            </w:r>
            <w:r w:rsidR="005B5090">
              <w:rPr>
                <w:rFonts w:ascii="Arial" w:hAnsi="Arial" w:cs="Arial"/>
              </w:rPr>
              <w:t xml:space="preserve">ones </w:t>
            </w:r>
            <w:r w:rsidRPr="008F4D73">
              <w:rPr>
                <w:rFonts w:ascii="Arial" w:hAnsi="Arial" w:cs="Arial"/>
              </w:rPr>
              <w:t>del folio como consecuencia de la actuación administrativa adelantada.</w:t>
            </w:r>
          </w:p>
          <w:p w14:paraId="1D1651BC" w14:textId="77777777" w:rsidR="008F4D73" w:rsidRPr="008F4D73" w:rsidRDefault="008F4D73" w:rsidP="008F4D73">
            <w:pPr>
              <w:tabs>
                <w:tab w:val="left" w:pos="7513"/>
              </w:tabs>
              <w:ind w:left="360"/>
              <w:rPr>
                <w:rFonts w:ascii="Arial" w:hAnsi="Arial" w:cs="Arial"/>
                <w:b/>
                <w:bCs/>
              </w:rPr>
            </w:pPr>
          </w:p>
          <w:p w14:paraId="7C4A4846" w14:textId="77777777" w:rsidR="008F4D73" w:rsidRPr="008F4D73" w:rsidRDefault="008F4D73" w:rsidP="008F4D73">
            <w:pPr>
              <w:tabs>
                <w:tab w:val="left" w:pos="7513"/>
              </w:tabs>
              <w:ind w:left="360"/>
              <w:rPr>
                <w:rFonts w:ascii="Arial" w:hAnsi="Arial" w:cs="Arial"/>
                <w:b/>
                <w:bCs/>
              </w:rPr>
            </w:pPr>
            <w:r w:rsidRPr="008F4D73">
              <w:rPr>
                <w:rFonts w:ascii="Arial" w:hAnsi="Arial" w:cs="Arial"/>
                <w:b/>
                <w:bCs/>
              </w:rPr>
              <w:t xml:space="preserve">4. Jurisprudencia o precedente judicial: </w:t>
            </w:r>
            <w:r w:rsidRPr="008F4D73">
              <w:rPr>
                <w:rFonts w:ascii="Arial" w:hAnsi="Arial" w:cs="Arial"/>
              </w:rPr>
              <w:t>no aplica.</w:t>
            </w:r>
          </w:p>
          <w:p w14:paraId="48C3A15C" w14:textId="77777777" w:rsidR="008F4D73" w:rsidRPr="008F4D73" w:rsidRDefault="008F4D73" w:rsidP="008F4D73">
            <w:pPr>
              <w:tabs>
                <w:tab w:val="left" w:pos="7513"/>
              </w:tabs>
              <w:ind w:left="360"/>
              <w:rPr>
                <w:rFonts w:ascii="Arial" w:hAnsi="Arial" w:cs="Arial"/>
                <w:b/>
                <w:bCs/>
              </w:rPr>
            </w:pPr>
          </w:p>
          <w:p w14:paraId="1412310C" w14:textId="77777777" w:rsidR="008F4D73" w:rsidRPr="008F4D73" w:rsidRDefault="008F4D73" w:rsidP="008F4D73">
            <w:pPr>
              <w:tabs>
                <w:tab w:val="left" w:pos="7513"/>
              </w:tabs>
              <w:ind w:left="360"/>
              <w:rPr>
                <w:rFonts w:ascii="Arial" w:hAnsi="Arial" w:cs="Arial"/>
                <w:b/>
                <w:bCs/>
              </w:rPr>
            </w:pPr>
            <w:r w:rsidRPr="008F4D73">
              <w:rPr>
                <w:rFonts w:ascii="Arial" w:hAnsi="Arial" w:cs="Arial"/>
                <w:b/>
                <w:bCs/>
              </w:rPr>
              <w:t xml:space="preserve">5. Doctrina: </w:t>
            </w:r>
            <w:r w:rsidRPr="008F4D73">
              <w:rPr>
                <w:rFonts w:ascii="Arial" w:hAnsi="Arial" w:cs="Arial"/>
              </w:rPr>
              <w:t>no aplica.</w:t>
            </w:r>
          </w:p>
          <w:p w14:paraId="18F05F0C" w14:textId="77777777" w:rsidR="008F4D73" w:rsidRPr="008F4D73" w:rsidRDefault="008F4D73" w:rsidP="008F4D73">
            <w:pPr>
              <w:tabs>
                <w:tab w:val="left" w:pos="7513"/>
              </w:tabs>
              <w:ind w:left="360"/>
              <w:rPr>
                <w:rFonts w:ascii="Arial" w:hAnsi="Arial" w:cs="Arial"/>
                <w:b/>
                <w:bCs/>
              </w:rPr>
            </w:pPr>
          </w:p>
          <w:p w14:paraId="587AFFFD" w14:textId="77777777" w:rsidR="008F4D73" w:rsidRPr="008F4D73" w:rsidRDefault="008F4D73" w:rsidP="008F4D73">
            <w:pPr>
              <w:tabs>
                <w:tab w:val="left" w:pos="7513"/>
              </w:tabs>
              <w:ind w:left="360"/>
              <w:rPr>
                <w:rFonts w:ascii="Arial" w:hAnsi="Arial" w:cs="Arial"/>
              </w:rPr>
            </w:pPr>
            <w:r w:rsidRPr="008F4D73">
              <w:rPr>
                <w:rFonts w:ascii="Arial" w:hAnsi="Arial" w:cs="Arial"/>
                <w:b/>
                <w:bCs/>
              </w:rPr>
              <w:t xml:space="preserve">6. Decisiones que tomo el comité en casos similares: </w:t>
            </w:r>
            <w:r w:rsidRPr="008F4D73">
              <w:rPr>
                <w:rFonts w:ascii="Arial" w:hAnsi="Arial" w:cs="Arial"/>
              </w:rPr>
              <w:t>no conciliar.</w:t>
            </w:r>
          </w:p>
          <w:p w14:paraId="01BB6255" w14:textId="77777777" w:rsidR="008F4D73" w:rsidRPr="008F4D73" w:rsidRDefault="008F4D73" w:rsidP="008F4D73">
            <w:pPr>
              <w:tabs>
                <w:tab w:val="left" w:pos="7513"/>
              </w:tabs>
              <w:ind w:left="360"/>
              <w:rPr>
                <w:rFonts w:ascii="Arial" w:hAnsi="Arial" w:cs="Arial"/>
                <w:b/>
                <w:bCs/>
              </w:rPr>
            </w:pPr>
          </w:p>
          <w:p w14:paraId="0CB80D0E" w14:textId="77777777" w:rsidR="008F4D73" w:rsidRPr="008F4D73" w:rsidRDefault="008F4D73" w:rsidP="008F4D73">
            <w:pPr>
              <w:tabs>
                <w:tab w:val="left" w:pos="7513"/>
              </w:tabs>
              <w:ind w:left="360"/>
              <w:rPr>
                <w:rFonts w:ascii="Arial" w:hAnsi="Arial" w:cs="Arial"/>
                <w:b/>
                <w:bCs/>
              </w:rPr>
            </w:pPr>
            <w:r w:rsidRPr="008F4D73">
              <w:rPr>
                <w:rFonts w:ascii="Arial" w:hAnsi="Arial" w:cs="Arial"/>
                <w:b/>
                <w:bCs/>
              </w:rPr>
              <w:t xml:space="preserve">7. Aplica política, llamamientos, protocolos o instructivos institucionales o nacionales: </w:t>
            </w:r>
            <w:r w:rsidRPr="008F4D73">
              <w:rPr>
                <w:rFonts w:ascii="Arial" w:hAnsi="Arial" w:cs="Arial"/>
              </w:rPr>
              <w:t>si, directriz de conciliación 01 del 2020.</w:t>
            </w:r>
          </w:p>
          <w:p w14:paraId="0BD99215" w14:textId="77777777" w:rsidR="008F4D73" w:rsidRPr="008F4D73" w:rsidRDefault="008F4D73" w:rsidP="008F4D73">
            <w:pPr>
              <w:tabs>
                <w:tab w:val="left" w:pos="7513"/>
              </w:tabs>
              <w:ind w:left="360"/>
              <w:rPr>
                <w:rFonts w:ascii="Arial" w:hAnsi="Arial" w:cs="Arial"/>
                <w:b/>
                <w:bCs/>
              </w:rPr>
            </w:pPr>
          </w:p>
          <w:p w14:paraId="34C5D862" w14:textId="77777777" w:rsidR="008F4D73" w:rsidRPr="008F4D73" w:rsidRDefault="008F4D73" w:rsidP="008F4D73">
            <w:pPr>
              <w:tabs>
                <w:tab w:val="left" w:pos="7513"/>
              </w:tabs>
              <w:ind w:left="360"/>
              <w:rPr>
                <w:rFonts w:ascii="Arial" w:hAnsi="Arial" w:cs="Arial"/>
                <w:b/>
                <w:bCs/>
              </w:rPr>
            </w:pPr>
            <w:r w:rsidRPr="008F4D73">
              <w:rPr>
                <w:rFonts w:ascii="Arial" w:hAnsi="Arial" w:cs="Arial"/>
                <w:b/>
                <w:bCs/>
              </w:rPr>
              <w:t>8. Evaluación del riesgo:</w:t>
            </w:r>
          </w:p>
          <w:tbl>
            <w:tblPr>
              <w:tblW w:w="6720" w:type="dxa"/>
              <w:jc w:val="center"/>
              <w:tblLayout w:type="fixed"/>
              <w:tblLook w:val="04A0" w:firstRow="1" w:lastRow="0" w:firstColumn="1" w:lastColumn="0" w:noHBand="0" w:noVBand="1"/>
            </w:tblPr>
            <w:tblGrid>
              <w:gridCol w:w="5704"/>
              <w:gridCol w:w="1016"/>
            </w:tblGrid>
            <w:tr w:rsidR="008F4D73" w:rsidRPr="008F4D73" w14:paraId="2EE5D87C" w14:textId="77777777" w:rsidTr="000F462B">
              <w:trPr>
                <w:trHeight w:val="1429"/>
                <w:jc w:val="center"/>
              </w:trPr>
              <w:tc>
                <w:tcPr>
                  <w:tcW w:w="6720" w:type="dxa"/>
                  <w:gridSpan w:val="2"/>
                  <w:tcBorders>
                    <w:top w:val="single" w:sz="4" w:space="0" w:color="auto"/>
                    <w:left w:val="single" w:sz="4" w:space="0" w:color="auto"/>
                    <w:bottom w:val="single" w:sz="4" w:space="0" w:color="auto"/>
                    <w:right w:val="single" w:sz="4" w:space="0" w:color="auto"/>
                  </w:tcBorders>
                  <w:shd w:val="clear" w:color="000000" w:fill="D0CECE"/>
                  <w:vAlign w:val="bottom"/>
                  <w:hideMark/>
                </w:tcPr>
                <w:p w14:paraId="250AEAFE" w14:textId="77777777" w:rsidR="008F4D73" w:rsidRPr="008F4D73" w:rsidRDefault="008F4D73" w:rsidP="008F4D73">
                  <w:pPr>
                    <w:autoSpaceDE w:val="0"/>
                    <w:autoSpaceDN w:val="0"/>
                    <w:adjustRightInd w:val="0"/>
                    <w:rPr>
                      <w:rFonts w:ascii="Arial" w:hAnsi="Arial" w:cs="Arial"/>
                      <w:b/>
                      <w:bCs/>
                      <w:lang w:val="es-CO"/>
                    </w:rPr>
                  </w:pPr>
                  <w:r w:rsidRPr="008F4D73">
                    <w:rPr>
                      <w:rFonts w:ascii="Arial" w:hAnsi="Arial" w:cs="Arial"/>
                      <w:b/>
                      <w:bCs/>
                      <w:lang w:val="es-CO"/>
                    </w:rPr>
                    <w:lastRenderedPageBreak/>
                    <w:t>1. Fortaleza de la demanda:</w:t>
                  </w:r>
                  <w:r w:rsidRPr="008F4D73">
                    <w:rPr>
                      <w:rFonts w:ascii="Arial" w:hAnsi="Arial" w:cs="Arial"/>
                      <w:b/>
                      <w:bCs/>
                      <w:lang w:val="es-CO"/>
                    </w:rPr>
                    <w:br/>
                    <w:t>Riesgo de pérdida del proceso por relevancia jurídica de las razones de hecho y derecho expuestas por el demandante</w:t>
                  </w:r>
                </w:p>
              </w:tc>
            </w:tr>
            <w:tr w:rsidR="008F4D73" w:rsidRPr="008F4D73" w14:paraId="78EE6B0A" w14:textId="77777777" w:rsidTr="000F462B">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42AEC817"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 xml:space="preserve">Ponderación </w:t>
                  </w:r>
                </w:p>
              </w:tc>
              <w:tc>
                <w:tcPr>
                  <w:tcW w:w="1016" w:type="dxa"/>
                  <w:tcBorders>
                    <w:top w:val="nil"/>
                    <w:left w:val="nil"/>
                    <w:bottom w:val="single" w:sz="4" w:space="0" w:color="auto"/>
                    <w:right w:val="single" w:sz="4" w:space="0" w:color="auto"/>
                  </w:tcBorders>
                  <w:noWrap/>
                  <w:vAlign w:val="bottom"/>
                  <w:hideMark/>
                </w:tcPr>
                <w:p w14:paraId="463EF94A"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Medio Bajo</w:t>
                  </w:r>
                </w:p>
              </w:tc>
            </w:tr>
            <w:tr w:rsidR="008F4D73" w:rsidRPr="008F4D73" w14:paraId="5FF5DE8E" w14:textId="77777777" w:rsidTr="000F462B">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6D8D52B2"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Calificación</w:t>
                  </w:r>
                </w:p>
              </w:tc>
              <w:tc>
                <w:tcPr>
                  <w:tcW w:w="1016" w:type="dxa"/>
                  <w:tcBorders>
                    <w:top w:val="nil"/>
                    <w:left w:val="nil"/>
                    <w:bottom w:val="single" w:sz="4" w:space="0" w:color="auto"/>
                    <w:right w:val="single" w:sz="4" w:space="0" w:color="auto"/>
                  </w:tcBorders>
                  <w:noWrap/>
                  <w:vAlign w:val="bottom"/>
                  <w:hideMark/>
                </w:tcPr>
                <w:p w14:paraId="61AA5E70"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25%</w:t>
                  </w:r>
                </w:p>
              </w:tc>
            </w:tr>
            <w:tr w:rsidR="008F4D73" w:rsidRPr="008F4D73" w14:paraId="077145BB" w14:textId="77777777" w:rsidTr="000F462B">
              <w:trPr>
                <w:trHeight w:val="1290"/>
                <w:jc w:val="center"/>
              </w:trPr>
              <w:tc>
                <w:tcPr>
                  <w:tcW w:w="6720" w:type="dxa"/>
                  <w:gridSpan w:val="2"/>
                  <w:tcBorders>
                    <w:top w:val="single" w:sz="4" w:space="0" w:color="auto"/>
                    <w:left w:val="single" w:sz="4" w:space="0" w:color="auto"/>
                    <w:bottom w:val="single" w:sz="4" w:space="0" w:color="auto"/>
                    <w:right w:val="single" w:sz="4" w:space="0" w:color="auto"/>
                  </w:tcBorders>
                  <w:shd w:val="clear" w:color="000000" w:fill="D0CECE"/>
                  <w:vAlign w:val="bottom"/>
                  <w:hideMark/>
                </w:tcPr>
                <w:p w14:paraId="7667CEB1" w14:textId="77777777" w:rsidR="008F4D73" w:rsidRPr="008F4D73" w:rsidRDefault="008F4D73" w:rsidP="008F4D73">
                  <w:pPr>
                    <w:autoSpaceDE w:val="0"/>
                    <w:autoSpaceDN w:val="0"/>
                    <w:adjustRightInd w:val="0"/>
                    <w:rPr>
                      <w:rFonts w:ascii="Arial" w:hAnsi="Arial" w:cs="Arial"/>
                      <w:b/>
                      <w:bCs/>
                      <w:lang w:val="es-CO"/>
                    </w:rPr>
                  </w:pPr>
                  <w:r w:rsidRPr="008F4D73">
                    <w:rPr>
                      <w:rFonts w:ascii="Arial" w:hAnsi="Arial" w:cs="Arial"/>
                      <w:b/>
                      <w:bCs/>
                      <w:lang w:val="es-CO"/>
                    </w:rPr>
                    <w:t>2. Fortaleza probatoria de la defensa:</w:t>
                  </w:r>
                  <w:r w:rsidRPr="008F4D73">
                    <w:rPr>
                      <w:rFonts w:ascii="Arial" w:hAnsi="Arial" w:cs="Arial"/>
                      <w:b/>
                      <w:bCs/>
                      <w:lang w:val="es-CO"/>
                    </w:rPr>
                    <w:br/>
                    <w:t>Riesgos de pérdida del proceso asociados a la contundencia, congruencia y pertinencia de los medios probatorios que soportan la demanda</w:t>
                  </w:r>
                </w:p>
              </w:tc>
            </w:tr>
            <w:tr w:rsidR="008F4D73" w:rsidRPr="008F4D73" w14:paraId="5D054B1E" w14:textId="77777777" w:rsidTr="000F462B">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1F8CB9ED"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 xml:space="preserve">Ponderación </w:t>
                  </w:r>
                </w:p>
              </w:tc>
              <w:tc>
                <w:tcPr>
                  <w:tcW w:w="1016" w:type="dxa"/>
                  <w:tcBorders>
                    <w:top w:val="nil"/>
                    <w:left w:val="nil"/>
                    <w:bottom w:val="single" w:sz="4" w:space="0" w:color="auto"/>
                    <w:right w:val="single" w:sz="4" w:space="0" w:color="auto"/>
                  </w:tcBorders>
                  <w:noWrap/>
                  <w:vAlign w:val="bottom"/>
                  <w:hideMark/>
                </w:tcPr>
                <w:p w14:paraId="74C58C44" w14:textId="77777777" w:rsidR="008F4D73" w:rsidRPr="008F4D73" w:rsidRDefault="008F4D73" w:rsidP="008F4D73">
                  <w:pPr>
                    <w:autoSpaceDE w:val="0"/>
                    <w:autoSpaceDN w:val="0"/>
                    <w:adjustRightInd w:val="0"/>
                    <w:rPr>
                      <w:rFonts w:ascii="Arial" w:hAnsi="Arial" w:cs="Arial"/>
                      <w:bCs/>
                      <w:lang w:val="es-CO"/>
                    </w:rPr>
                  </w:pPr>
                </w:p>
                <w:p w14:paraId="59A2FE5E"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 xml:space="preserve">Bajo </w:t>
                  </w:r>
                </w:p>
              </w:tc>
            </w:tr>
            <w:tr w:rsidR="008F4D73" w:rsidRPr="008F4D73" w14:paraId="370C4AB9" w14:textId="77777777" w:rsidTr="000F462B">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2F1F981D"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Calificación</w:t>
                  </w:r>
                </w:p>
              </w:tc>
              <w:tc>
                <w:tcPr>
                  <w:tcW w:w="1016" w:type="dxa"/>
                  <w:tcBorders>
                    <w:top w:val="nil"/>
                    <w:left w:val="nil"/>
                    <w:bottom w:val="single" w:sz="4" w:space="0" w:color="auto"/>
                    <w:right w:val="single" w:sz="4" w:space="0" w:color="auto"/>
                  </w:tcBorders>
                  <w:noWrap/>
                  <w:vAlign w:val="bottom"/>
                  <w:hideMark/>
                </w:tcPr>
                <w:p w14:paraId="6A1B5EAF"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25%</w:t>
                  </w:r>
                </w:p>
              </w:tc>
            </w:tr>
            <w:tr w:rsidR="008F4D73" w:rsidRPr="008F4D73" w14:paraId="7E706FD7" w14:textId="77777777" w:rsidTr="000F462B">
              <w:trPr>
                <w:trHeight w:val="2295"/>
                <w:jc w:val="center"/>
              </w:trPr>
              <w:tc>
                <w:tcPr>
                  <w:tcW w:w="6720" w:type="dxa"/>
                  <w:gridSpan w:val="2"/>
                  <w:tcBorders>
                    <w:top w:val="single" w:sz="4" w:space="0" w:color="auto"/>
                    <w:left w:val="single" w:sz="4" w:space="0" w:color="auto"/>
                    <w:bottom w:val="single" w:sz="4" w:space="0" w:color="auto"/>
                    <w:right w:val="single" w:sz="4" w:space="0" w:color="auto"/>
                  </w:tcBorders>
                  <w:shd w:val="clear" w:color="000000" w:fill="D0CECE"/>
                  <w:vAlign w:val="bottom"/>
                  <w:hideMark/>
                </w:tcPr>
                <w:p w14:paraId="6D9B6B4E" w14:textId="77777777" w:rsidR="008F4D73" w:rsidRPr="008F4D73" w:rsidRDefault="008F4D73" w:rsidP="008F4D73">
                  <w:pPr>
                    <w:autoSpaceDE w:val="0"/>
                    <w:autoSpaceDN w:val="0"/>
                    <w:adjustRightInd w:val="0"/>
                    <w:rPr>
                      <w:rFonts w:ascii="Arial" w:hAnsi="Arial" w:cs="Arial"/>
                      <w:b/>
                      <w:bCs/>
                      <w:lang w:val="es-CO"/>
                    </w:rPr>
                  </w:pPr>
                  <w:r w:rsidRPr="008F4D73">
                    <w:rPr>
                      <w:rFonts w:ascii="Arial" w:hAnsi="Arial" w:cs="Arial"/>
                      <w:b/>
                      <w:bCs/>
                      <w:lang w:val="es-CO"/>
                    </w:rPr>
                    <w:t>3. Presencia de riesgos procesales:</w:t>
                  </w:r>
                  <w:r w:rsidRPr="008F4D73">
                    <w:rPr>
                      <w:rFonts w:ascii="Arial" w:hAnsi="Arial" w:cs="Arial"/>
                      <w:b/>
                      <w:bCs/>
                      <w:lang w:val="es-CO"/>
                    </w:rPr>
                    <w:br/>
                    <w:t>Este criterio se relaciona con los siguientes eventos que afectan la defensa del Estado: (a) Posición del juez de conocimiento. (b) Presencia de medidas de protección transitoria a favor del demandante. (c) Corrupción. (d) Inminencia de revocatoria de fallo favorable o ratificación de fallo desfavorable. (e) Medidas de descongestión judicial. (f) Cambio del titular del despacho.</w:t>
                  </w:r>
                </w:p>
              </w:tc>
            </w:tr>
            <w:tr w:rsidR="008F4D73" w:rsidRPr="008F4D73" w14:paraId="122C3366" w14:textId="77777777" w:rsidTr="000F462B">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3A7F8983"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 xml:space="preserve">Ponderación </w:t>
                  </w:r>
                </w:p>
              </w:tc>
              <w:tc>
                <w:tcPr>
                  <w:tcW w:w="1016" w:type="dxa"/>
                  <w:tcBorders>
                    <w:top w:val="nil"/>
                    <w:left w:val="nil"/>
                    <w:bottom w:val="single" w:sz="4" w:space="0" w:color="auto"/>
                    <w:right w:val="single" w:sz="4" w:space="0" w:color="auto"/>
                  </w:tcBorders>
                  <w:noWrap/>
                  <w:vAlign w:val="bottom"/>
                  <w:hideMark/>
                </w:tcPr>
                <w:p w14:paraId="49CB2A8D"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Bajo</w:t>
                  </w:r>
                </w:p>
              </w:tc>
            </w:tr>
            <w:tr w:rsidR="008F4D73" w:rsidRPr="008F4D73" w14:paraId="2B7A82C2" w14:textId="77777777" w:rsidTr="000F462B">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44BC912B"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Calificación</w:t>
                  </w:r>
                </w:p>
              </w:tc>
              <w:tc>
                <w:tcPr>
                  <w:tcW w:w="1016" w:type="dxa"/>
                  <w:tcBorders>
                    <w:top w:val="nil"/>
                    <w:left w:val="nil"/>
                    <w:bottom w:val="single" w:sz="4" w:space="0" w:color="auto"/>
                    <w:right w:val="single" w:sz="4" w:space="0" w:color="auto"/>
                  </w:tcBorders>
                  <w:noWrap/>
                  <w:vAlign w:val="bottom"/>
                  <w:hideMark/>
                </w:tcPr>
                <w:p w14:paraId="1119F28B"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25%</w:t>
                  </w:r>
                </w:p>
              </w:tc>
            </w:tr>
            <w:tr w:rsidR="008F4D73" w:rsidRPr="008F4D73" w14:paraId="428085E3" w14:textId="77777777" w:rsidTr="000F462B">
              <w:trPr>
                <w:trHeight w:val="1239"/>
                <w:jc w:val="center"/>
              </w:trPr>
              <w:tc>
                <w:tcPr>
                  <w:tcW w:w="6720" w:type="dxa"/>
                  <w:gridSpan w:val="2"/>
                  <w:tcBorders>
                    <w:top w:val="single" w:sz="4" w:space="0" w:color="auto"/>
                    <w:left w:val="single" w:sz="4" w:space="0" w:color="auto"/>
                    <w:bottom w:val="single" w:sz="4" w:space="0" w:color="auto"/>
                    <w:right w:val="single" w:sz="4" w:space="0" w:color="auto"/>
                  </w:tcBorders>
                  <w:shd w:val="clear" w:color="000000" w:fill="D0CECE"/>
                  <w:vAlign w:val="bottom"/>
                  <w:hideMark/>
                </w:tcPr>
                <w:p w14:paraId="15F7122A" w14:textId="77777777" w:rsidR="008F4D73" w:rsidRPr="008F4D73" w:rsidRDefault="008F4D73" w:rsidP="008F4D73">
                  <w:pPr>
                    <w:autoSpaceDE w:val="0"/>
                    <w:autoSpaceDN w:val="0"/>
                    <w:adjustRightInd w:val="0"/>
                    <w:rPr>
                      <w:rFonts w:ascii="Arial" w:hAnsi="Arial" w:cs="Arial"/>
                      <w:b/>
                      <w:bCs/>
                      <w:lang w:val="es-CO"/>
                    </w:rPr>
                  </w:pPr>
                  <w:r w:rsidRPr="008F4D73">
                    <w:rPr>
                      <w:rFonts w:ascii="Arial" w:hAnsi="Arial" w:cs="Arial"/>
                      <w:b/>
                      <w:bCs/>
                      <w:lang w:val="es-CO"/>
                    </w:rPr>
                    <w:t>4. Nivel de jurisprudencia:</w:t>
                  </w:r>
                  <w:r w:rsidRPr="008F4D73">
                    <w:rPr>
                      <w:rFonts w:ascii="Arial" w:hAnsi="Arial" w:cs="Arial"/>
                      <w:b/>
                      <w:bCs/>
                      <w:lang w:val="es-CO"/>
                    </w:rPr>
                    <w:br/>
                    <w:t>Riesgo de pérdida del proceso asociado al nivel de jurisprudencia, muestra la incidencia de los precedentes jurisprudenciales respecto de un proceso y que afirma la posición de la parte demandante.</w:t>
                  </w:r>
                </w:p>
              </w:tc>
            </w:tr>
            <w:tr w:rsidR="008F4D73" w:rsidRPr="008F4D73" w14:paraId="1322DF92" w14:textId="77777777" w:rsidTr="000F462B">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579D2AE2"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 xml:space="preserve">Ponderación </w:t>
                  </w:r>
                </w:p>
              </w:tc>
              <w:tc>
                <w:tcPr>
                  <w:tcW w:w="1016" w:type="dxa"/>
                  <w:tcBorders>
                    <w:top w:val="nil"/>
                    <w:left w:val="nil"/>
                    <w:bottom w:val="single" w:sz="4" w:space="0" w:color="auto"/>
                    <w:right w:val="single" w:sz="4" w:space="0" w:color="auto"/>
                  </w:tcBorders>
                  <w:noWrap/>
                  <w:vAlign w:val="bottom"/>
                  <w:hideMark/>
                </w:tcPr>
                <w:p w14:paraId="4382FCA3"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Bajo</w:t>
                  </w:r>
                </w:p>
              </w:tc>
            </w:tr>
            <w:tr w:rsidR="008F4D73" w:rsidRPr="008F4D73" w14:paraId="2E109CBD" w14:textId="77777777" w:rsidTr="000F462B">
              <w:trPr>
                <w:trHeight w:val="330"/>
                <w:jc w:val="center"/>
              </w:trPr>
              <w:tc>
                <w:tcPr>
                  <w:tcW w:w="5704" w:type="dxa"/>
                  <w:tcBorders>
                    <w:top w:val="nil"/>
                    <w:left w:val="single" w:sz="4" w:space="0" w:color="auto"/>
                    <w:bottom w:val="single" w:sz="4" w:space="0" w:color="auto"/>
                    <w:right w:val="single" w:sz="4" w:space="0" w:color="auto"/>
                  </w:tcBorders>
                  <w:noWrap/>
                  <w:vAlign w:val="bottom"/>
                  <w:hideMark/>
                </w:tcPr>
                <w:p w14:paraId="3BE79C29"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Calificación</w:t>
                  </w:r>
                </w:p>
              </w:tc>
              <w:tc>
                <w:tcPr>
                  <w:tcW w:w="1016" w:type="dxa"/>
                  <w:tcBorders>
                    <w:top w:val="nil"/>
                    <w:left w:val="nil"/>
                    <w:bottom w:val="single" w:sz="4" w:space="0" w:color="auto"/>
                    <w:right w:val="single" w:sz="4" w:space="0" w:color="auto"/>
                  </w:tcBorders>
                  <w:noWrap/>
                  <w:vAlign w:val="bottom"/>
                  <w:hideMark/>
                </w:tcPr>
                <w:p w14:paraId="3F5EAC9B"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25%</w:t>
                  </w:r>
                </w:p>
              </w:tc>
            </w:tr>
            <w:tr w:rsidR="008F4D73" w:rsidRPr="008F4D73" w14:paraId="6E845E68" w14:textId="77777777" w:rsidTr="000F462B">
              <w:trPr>
                <w:trHeight w:val="330"/>
                <w:jc w:val="center"/>
              </w:trPr>
              <w:tc>
                <w:tcPr>
                  <w:tcW w:w="5704" w:type="dxa"/>
                  <w:tcBorders>
                    <w:top w:val="nil"/>
                    <w:left w:val="single" w:sz="4" w:space="0" w:color="auto"/>
                    <w:bottom w:val="single" w:sz="4" w:space="0" w:color="auto"/>
                    <w:right w:val="single" w:sz="4" w:space="0" w:color="auto"/>
                  </w:tcBorders>
                  <w:shd w:val="clear" w:color="000000" w:fill="D0CECE"/>
                  <w:noWrap/>
                  <w:vAlign w:val="bottom"/>
                  <w:hideMark/>
                </w:tcPr>
                <w:p w14:paraId="4E59BDC0"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Probabilidad de condena</w:t>
                  </w:r>
                </w:p>
              </w:tc>
              <w:tc>
                <w:tcPr>
                  <w:tcW w:w="1016" w:type="dxa"/>
                  <w:tcBorders>
                    <w:top w:val="nil"/>
                    <w:left w:val="nil"/>
                    <w:bottom w:val="single" w:sz="4" w:space="0" w:color="auto"/>
                    <w:right w:val="single" w:sz="4" w:space="0" w:color="auto"/>
                  </w:tcBorders>
                  <w:shd w:val="clear" w:color="000000" w:fill="D0CECE"/>
                  <w:noWrap/>
                  <w:vAlign w:val="bottom"/>
                  <w:hideMark/>
                </w:tcPr>
                <w:p w14:paraId="63D14657"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14.75%</w:t>
                  </w:r>
                </w:p>
              </w:tc>
            </w:tr>
            <w:tr w:rsidR="008F4D73" w:rsidRPr="008F4D73" w14:paraId="11EEF5C7" w14:textId="77777777" w:rsidTr="000F462B">
              <w:trPr>
                <w:trHeight w:val="330"/>
                <w:jc w:val="center"/>
              </w:trPr>
              <w:tc>
                <w:tcPr>
                  <w:tcW w:w="5704" w:type="dxa"/>
                  <w:tcBorders>
                    <w:top w:val="nil"/>
                    <w:left w:val="single" w:sz="4" w:space="0" w:color="auto"/>
                    <w:bottom w:val="single" w:sz="4" w:space="0" w:color="auto"/>
                    <w:right w:val="single" w:sz="4" w:space="0" w:color="auto"/>
                  </w:tcBorders>
                  <w:shd w:val="clear" w:color="000000" w:fill="D0CECE"/>
                  <w:noWrap/>
                  <w:vAlign w:val="bottom"/>
                  <w:hideMark/>
                </w:tcPr>
                <w:p w14:paraId="67269DB6"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Probabilidad de pérdida</w:t>
                  </w:r>
                </w:p>
              </w:tc>
              <w:tc>
                <w:tcPr>
                  <w:tcW w:w="1016" w:type="dxa"/>
                  <w:tcBorders>
                    <w:top w:val="nil"/>
                    <w:left w:val="nil"/>
                    <w:bottom w:val="single" w:sz="4" w:space="0" w:color="auto"/>
                    <w:right w:val="single" w:sz="4" w:space="0" w:color="auto"/>
                  </w:tcBorders>
                  <w:shd w:val="clear" w:color="000000" w:fill="D0CECE"/>
                  <w:noWrap/>
                  <w:vAlign w:val="bottom"/>
                  <w:hideMark/>
                </w:tcPr>
                <w:p w14:paraId="4F7D388A" w14:textId="77777777" w:rsidR="008F4D73" w:rsidRPr="008F4D73" w:rsidRDefault="008F4D73" w:rsidP="008F4D73">
                  <w:pPr>
                    <w:autoSpaceDE w:val="0"/>
                    <w:autoSpaceDN w:val="0"/>
                    <w:adjustRightInd w:val="0"/>
                    <w:rPr>
                      <w:rFonts w:ascii="Arial" w:hAnsi="Arial" w:cs="Arial"/>
                      <w:bCs/>
                      <w:lang w:val="es-CO"/>
                    </w:rPr>
                  </w:pPr>
                  <w:r w:rsidRPr="008F4D73">
                    <w:rPr>
                      <w:rFonts w:ascii="Arial" w:hAnsi="Arial" w:cs="Arial"/>
                      <w:bCs/>
                      <w:lang w:val="es-CO"/>
                    </w:rPr>
                    <w:t>Bajo</w:t>
                  </w:r>
                </w:p>
              </w:tc>
            </w:tr>
          </w:tbl>
          <w:p w14:paraId="17579F7F" w14:textId="77777777" w:rsidR="008F4D73" w:rsidRPr="008F4D73" w:rsidRDefault="008F4D73" w:rsidP="008F4D73">
            <w:pPr>
              <w:tabs>
                <w:tab w:val="left" w:pos="7513"/>
              </w:tabs>
              <w:ind w:left="360"/>
              <w:rPr>
                <w:rFonts w:ascii="Arial" w:hAnsi="Arial" w:cs="Arial"/>
                <w:b/>
                <w:bCs/>
              </w:rPr>
            </w:pPr>
          </w:p>
          <w:p w14:paraId="178E9A90" w14:textId="77777777" w:rsidR="008F4D73" w:rsidRPr="008F4D73" w:rsidRDefault="008F4D73" w:rsidP="008F4D73">
            <w:pPr>
              <w:tabs>
                <w:tab w:val="left" w:pos="7513"/>
              </w:tabs>
              <w:ind w:left="360"/>
              <w:rPr>
                <w:rFonts w:ascii="Arial" w:hAnsi="Arial" w:cs="Arial"/>
                <w:b/>
                <w:bCs/>
              </w:rPr>
            </w:pPr>
            <w:r w:rsidRPr="008F4D73">
              <w:rPr>
                <w:rFonts w:ascii="Arial" w:hAnsi="Arial" w:cs="Arial"/>
                <w:b/>
                <w:bCs/>
              </w:rPr>
              <w:lastRenderedPageBreak/>
              <w:t>9. Llamamiento en garantía:</w:t>
            </w:r>
          </w:p>
          <w:p w14:paraId="54CC4E78" w14:textId="77777777" w:rsidR="008F4D73" w:rsidRPr="008F4D73" w:rsidRDefault="008F4D73" w:rsidP="008F4D73">
            <w:pPr>
              <w:tabs>
                <w:tab w:val="left" w:pos="7513"/>
              </w:tabs>
              <w:rPr>
                <w:rFonts w:ascii="Arial" w:hAnsi="Arial" w:cs="Arial"/>
                <w:b/>
                <w:bCs/>
              </w:rPr>
            </w:pPr>
          </w:p>
          <w:p w14:paraId="3CEB285C" w14:textId="77777777" w:rsidR="008F4D73" w:rsidRPr="008F4D73" w:rsidRDefault="008F4D73" w:rsidP="008F4D73">
            <w:pPr>
              <w:autoSpaceDE w:val="0"/>
              <w:autoSpaceDN w:val="0"/>
              <w:adjustRightInd w:val="0"/>
              <w:jc w:val="both"/>
              <w:rPr>
                <w:rFonts w:ascii="Arial" w:hAnsi="Arial" w:cs="Arial"/>
                <w:i/>
                <w:iCs/>
                <w:lang w:val="es-CO"/>
              </w:rPr>
            </w:pPr>
            <w:r w:rsidRPr="008F4D73">
              <w:rPr>
                <w:rFonts w:ascii="Arial" w:hAnsi="Arial" w:cs="Arial"/>
                <w:lang w:val="es-CO"/>
              </w:rPr>
              <w:t xml:space="preserve">De conformidad con lo dispuesto en el artículo 225 del C.P.A.C.A. y lo regulado en la ley 678 de 2001 en su artículo segundo </w:t>
            </w:r>
            <w:r w:rsidRPr="008F4D73">
              <w:rPr>
                <w:rFonts w:ascii="Arial" w:hAnsi="Arial" w:cs="Arial"/>
                <w:i/>
                <w:iCs/>
                <w:lang w:val="es-CO"/>
              </w:rPr>
              <w:t>“[el servidor o ex servidor público o el particular investido de funciones públicas podrá ser llamado en garantía dentro del proceso de responsabilidad contra la entidad pública, con los mismos fines de la acción de repetición]”.</w:t>
            </w:r>
          </w:p>
          <w:p w14:paraId="2478384D" w14:textId="77777777" w:rsidR="008F4D73" w:rsidRPr="008F4D73" w:rsidRDefault="008F4D73" w:rsidP="008F4D73">
            <w:pPr>
              <w:autoSpaceDE w:val="0"/>
              <w:autoSpaceDN w:val="0"/>
              <w:adjustRightInd w:val="0"/>
              <w:jc w:val="both"/>
              <w:rPr>
                <w:rFonts w:ascii="Arial" w:hAnsi="Arial" w:cs="Arial"/>
                <w:i/>
                <w:iCs/>
                <w:lang w:val="es-CO"/>
              </w:rPr>
            </w:pPr>
          </w:p>
          <w:p w14:paraId="3314A483" w14:textId="77777777" w:rsidR="008F4D73" w:rsidRPr="008F4D73" w:rsidRDefault="008F4D73" w:rsidP="008F4D73">
            <w:pPr>
              <w:tabs>
                <w:tab w:val="left" w:pos="7513"/>
              </w:tabs>
              <w:jc w:val="both"/>
              <w:rPr>
                <w:rFonts w:ascii="Arial" w:hAnsi="Arial" w:cs="Arial"/>
                <w:lang w:val="es-CO"/>
              </w:rPr>
            </w:pPr>
            <w:r w:rsidRPr="008F4D73">
              <w:rPr>
                <w:rFonts w:ascii="Arial" w:hAnsi="Arial" w:cs="Arial"/>
                <w:lang w:val="es-CO"/>
              </w:rPr>
              <w:t>Una vez analizados los argumentos de hecho y de derecho planteados en la solicitud de conciliación, considero que no se cumplen los presupuestos para iniciar el llamamiento en garantía.</w:t>
            </w:r>
          </w:p>
          <w:p w14:paraId="39F7F475" w14:textId="77777777" w:rsidR="008F4D73" w:rsidRPr="008F4D73" w:rsidRDefault="008F4D73" w:rsidP="008F4D73">
            <w:pPr>
              <w:tabs>
                <w:tab w:val="left" w:pos="7513"/>
              </w:tabs>
              <w:rPr>
                <w:rFonts w:ascii="Arial" w:hAnsi="Arial" w:cs="Arial"/>
                <w:b/>
                <w:bCs/>
              </w:rPr>
            </w:pPr>
          </w:p>
          <w:p w14:paraId="7869EF30" w14:textId="77777777" w:rsidR="008F4D73" w:rsidRPr="008F4D73" w:rsidRDefault="008F4D73" w:rsidP="008F4D73">
            <w:pPr>
              <w:tabs>
                <w:tab w:val="left" w:pos="7513"/>
              </w:tabs>
              <w:ind w:left="360"/>
              <w:rPr>
                <w:rFonts w:ascii="Arial" w:hAnsi="Arial" w:cs="Arial"/>
                <w:b/>
                <w:bCs/>
              </w:rPr>
            </w:pPr>
          </w:p>
          <w:p w14:paraId="1309F79B" w14:textId="77777777" w:rsidR="008F4D73" w:rsidRPr="008F4D73" w:rsidRDefault="008F4D73" w:rsidP="008F4D73">
            <w:pPr>
              <w:tabs>
                <w:tab w:val="left" w:pos="7513"/>
              </w:tabs>
              <w:ind w:left="360"/>
              <w:rPr>
                <w:rFonts w:ascii="Arial" w:hAnsi="Arial" w:cs="Arial"/>
                <w:b/>
                <w:bCs/>
              </w:rPr>
            </w:pPr>
            <w:r w:rsidRPr="008F4D73">
              <w:rPr>
                <w:rFonts w:ascii="Arial" w:hAnsi="Arial" w:cs="Arial"/>
                <w:b/>
                <w:bCs/>
              </w:rPr>
              <w:t>10. Argumentos de defensa:</w:t>
            </w:r>
          </w:p>
          <w:p w14:paraId="006CAFD5" w14:textId="77777777" w:rsidR="008F4D73" w:rsidRPr="008F4D73" w:rsidRDefault="008F4D73" w:rsidP="008F4D73">
            <w:pPr>
              <w:tabs>
                <w:tab w:val="left" w:pos="7513"/>
              </w:tabs>
              <w:ind w:left="360"/>
              <w:rPr>
                <w:rFonts w:ascii="Arial" w:hAnsi="Arial" w:cs="Arial"/>
                <w:b/>
                <w:bCs/>
              </w:rPr>
            </w:pPr>
          </w:p>
          <w:p w14:paraId="64A22C88" w14:textId="77777777" w:rsidR="008F4D73" w:rsidRPr="008F4D73" w:rsidRDefault="008F4D73" w:rsidP="008F4D73">
            <w:pPr>
              <w:tabs>
                <w:tab w:val="left" w:pos="7513"/>
              </w:tabs>
              <w:spacing w:line="276" w:lineRule="auto"/>
              <w:jc w:val="both"/>
              <w:rPr>
                <w:rFonts w:ascii="Arial" w:hAnsi="Arial" w:cs="Arial"/>
              </w:rPr>
            </w:pPr>
            <w:r w:rsidRPr="008F4D73">
              <w:rPr>
                <w:rFonts w:ascii="Arial" w:hAnsi="Arial" w:cs="Arial"/>
              </w:rPr>
              <w:t>Es oportuno advertir previamente que, la función registral es un servicio del Estado que se presta por funcionarios llamados registradores de instrumentos públicos, los cuales cumplen funciones determinadas en el Estatuto Registral Decreto Ley 1250/70 hoy Ley 1579/2012 de carácter procedimental o adjetivo, así como en múltiples disposiciones que se encuentran a lo largo del ordenamiento jurídico colombiano y de las cuales se le impone el deber legal al registrador de acatar y velar por la seguridad jurídica del tráfico inmobiliario.</w:t>
            </w:r>
          </w:p>
          <w:p w14:paraId="3C93596A" w14:textId="77777777" w:rsidR="008F4D73" w:rsidRPr="008F4D73" w:rsidRDefault="008F4D73" w:rsidP="008F4D73">
            <w:pPr>
              <w:tabs>
                <w:tab w:val="left" w:pos="7513"/>
              </w:tabs>
              <w:spacing w:line="276" w:lineRule="auto"/>
              <w:jc w:val="both"/>
              <w:rPr>
                <w:rFonts w:ascii="Arial" w:hAnsi="Arial" w:cs="Arial"/>
              </w:rPr>
            </w:pPr>
          </w:p>
          <w:p w14:paraId="7BDA0E0C" w14:textId="77777777" w:rsidR="008F4D73" w:rsidRPr="008F4D73" w:rsidRDefault="008F4D73" w:rsidP="008F4D73">
            <w:pPr>
              <w:tabs>
                <w:tab w:val="left" w:pos="7513"/>
              </w:tabs>
              <w:spacing w:line="276" w:lineRule="auto"/>
              <w:jc w:val="both"/>
              <w:rPr>
                <w:rFonts w:ascii="Arial" w:hAnsi="Arial" w:cs="Arial"/>
              </w:rPr>
            </w:pPr>
            <w:r w:rsidRPr="008F4D73">
              <w:rPr>
                <w:rFonts w:ascii="Arial" w:hAnsi="Arial" w:cs="Arial"/>
              </w:rPr>
              <w:t>Ha de tenerse en cuenta que el acto público de registro por sí solo no confiere derechos ni modifica situaciones jurídicas, estos nacen de los actos celebrados por los particulares o de decisiones adoptadas por autoridades judiciales, administrativas o arbitrales; así mismo tener de presente que ni la tradición de inmuebles o la constitución de derechos reales mediante el registro son actos que dependen de la función registral, sino que estos emanan de la Ley que les ha consagrado esos efectos.</w:t>
            </w:r>
          </w:p>
          <w:p w14:paraId="7759DAB1" w14:textId="77777777" w:rsidR="008F4D73" w:rsidRPr="008F4D73" w:rsidRDefault="008F4D73" w:rsidP="008F4D73">
            <w:pPr>
              <w:tabs>
                <w:tab w:val="left" w:pos="7513"/>
              </w:tabs>
              <w:spacing w:line="276" w:lineRule="auto"/>
              <w:jc w:val="both"/>
              <w:rPr>
                <w:rFonts w:ascii="Arial" w:hAnsi="Arial" w:cs="Arial"/>
              </w:rPr>
            </w:pPr>
          </w:p>
          <w:p w14:paraId="4D27ADB7" w14:textId="77777777" w:rsidR="008F4D73" w:rsidRPr="008F4D73" w:rsidRDefault="008F4D73" w:rsidP="008F4D73">
            <w:pPr>
              <w:tabs>
                <w:tab w:val="left" w:pos="7513"/>
              </w:tabs>
              <w:spacing w:line="276" w:lineRule="auto"/>
              <w:jc w:val="both"/>
              <w:rPr>
                <w:rFonts w:ascii="Arial" w:hAnsi="Arial" w:cs="Arial"/>
              </w:rPr>
            </w:pPr>
            <w:r w:rsidRPr="008F4D73">
              <w:rPr>
                <w:rFonts w:ascii="Arial" w:hAnsi="Arial" w:cs="Arial"/>
              </w:rPr>
              <w:t>Siendo pertinente aclarar en este punto que la función registral en Colombia está regulada por la Ley 1579 de 2012 y tiene como finalidad principal darles publicidad a los actos sujetos a registro, adicionalmente vale la pena mencionar que los errores de registro no confieren derechos y el acto de registro como tal no genera derechos diferentes a los contenidos en los actos jurídicos que requieren de esta formalidad.</w:t>
            </w:r>
          </w:p>
          <w:p w14:paraId="0640113D" w14:textId="77777777" w:rsidR="008F4D73" w:rsidRPr="008F4D73" w:rsidRDefault="008F4D73" w:rsidP="008F4D73">
            <w:pPr>
              <w:tabs>
                <w:tab w:val="left" w:pos="7513"/>
              </w:tabs>
              <w:spacing w:line="276" w:lineRule="auto"/>
              <w:jc w:val="both"/>
              <w:rPr>
                <w:rFonts w:ascii="Arial" w:hAnsi="Arial" w:cs="Arial"/>
              </w:rPr>
            </w:pPr>
          </w:p>
          <w:p w14:paraId="62E1F6C6" w14:textId="77777777" w:rsidR="008F4D73" w:rsidRPr="008F4D73" w:rsidRDefault="008F4D73" w:rsidP="008F4D73">
            <w:pPr>
              <w:tabs>
                <w:tab w:val="left" w:pos="7513"/>
              </w:tabs>
              <w:spacing w:line="276" w:lineRule="auto"/>
              <w:jc w:val="both"/>
              <w:rPr>
                <w:rFonts w:ascii="Arial" w:hAnsi="Arial" w:cs="Arial"/>
              </w:rPr>
            </w:pPr>
            <w:r w:rsidRPr="008F4D73">
              <w:rPr>
                <w:rFonts w:ascii="Arial" w:hAnsi="Arial" w:cs="Arial"/>
              </w:rPr>
              <w:lastRenderedPageBreak/>
              <w:t>Así mismo, el registro no convalida los actos jurídicos que sean nulos conforme a la Ley y estos registros o inscripciones solo podrán ser anulados por decisión judicial debidamente ejecutoriada.</w:t>
            </w:r>
          </w:p>
          <w:p w14:paraId="11C4EAD1" w14:textId="77777777" w:rsidR="008F4D73" w:rsidRPr="008F4D73" w:rsidRDefault="008F4D73" w:rsidP="008F4D73">
            <w:pPr>
              <w:tabs>
                <w:tab w:val="left" w:pos="7513"/>
              </w:tabs>
              <w:spacing w:line="276" w:lineRule="auto"/>
              <w:jc w:val="both"/>
              <w:rPr>
                <w:rFonts w:ascii="Arial" w:hAnsi="Arial" w:cs="Arial"/>
              </w:rPr>
            </w:pPr>
          </w:p>
          <w:p w14:paraId="4A710215" w14:textId="77777777" w:rsidR="008F4D73" w:rsidRPr="008F4D73" w:rsidRDefault="008F4D73" w:rsidP="008F4D73">
            <w:pPr>
              <w:tabs>
                <w:tab w:val="left" w:pos="7513"/>
              </w:tabs>
              <w:spacing w:line="276" w:lineRule="auto"/>
              <w:jc w:val="both"/>
              <w:rPr>
                <w:rFonts w:ascii="Arial" w:hAnsi="Arial" w:cs="Arial"/>
                <w:i/>
                <w:iCs/>
              </w:rPr>
            </w:pPr>
            <w:r w:rsidRPr="008F4D73">
              <w:rPr>
                <w:rFonts w:ascii="Arial" w:hAnsi="Arial" w:cs="Arial"/>
                <w:b/>
                <w:bCs/>
              </w:rPr>
              <w:t>FRENTE AL MEDIO DE CONTROL DE REPARACIÓN DIRECTA:</w:t>
            </w:r>
            <w:r w:rsidRPr="008F4D73">
              <w:rPr>
                <w:rFonts w:ascii="Arial" w:hAnsi="Arial" w:cs="Arial"/>
              </w:rPr>
              <w:t xml:space="preserve"> </w:t>
            </w:r>
            <w:r w:rsidRPr="008F4D73">
              <w:rPr>
                <w:rFonts w:ascii="Arial" w:hAnsi="Arial" w:cs="Arial"/>
                <w:i/>
                <w:iCs/>
              </w:rPr>
              <w:t>“[la reparación directa es una acción de naturaleza subjetiva, individual, temporal y desistible, a través de la cual la persona que se crea lesionada o afectada (…) podrá solicitar directamente ante la jurisdicción de lo contencioso administrativo que se repare el daño causado y se le reconozcan las demás indemnizaciones que correspondan.</w:t>
            </w:r>
          </w:p>
          <w:p w14:paraId="6C69B545" w14:textId="77777777" w:rsidR="008F4D73" w:rsidRPr="008F4D73" w:rsidRDefault="008F4D73" w:rsidP="008F4D73">
            <w:pPr>
              <w:tabs>
                <w:tab w:val="left" w:pos="7513"/>
              </w:tabs>
              <w:spacing w:line="276" w:lineRule="auto"/>
              <w:jc w:val="both"/>
              <w:rPr>
                <w:rFonts w:ascii="Arial" w:hAnsi="Arial" w:cs="Arial"/>
                <w:i/>
                <w:iCs/>
              </w:rPr>
            </w:pPr>
          </w:p>
          <w:p w14:paraId="2E5C0982" w14:textId="77777777" w:rsidR="008F4D73" w:rsidRPr="008F4D73" w:rsidRDefault="008F4D73" w:rsidP="008F4D73">
            <w:pPr>
              <w:tabs>
                <w:tab w:val="left" w:pos="7513"/>
              </w:tabs>
              <w:spacing w:line="276" w:lineRule="auto"/>
              <w:jc w:val="both"/>
              <w:rPr>
                <w:rFonts w:ascii="Arial" w:hAnsi="Arial" w:cs="Arial"/>
                <w:i/>
                <w:iCs/>
              </w:rPr>
            </w:pPr>
            <w:r w:rsidRPr="008F4D73">
              <w:rPr>
                <w:rFonts w:ascii="Arial" w:hAnsi="Arial" w:cs="Arial"/>
                <w:i/>
                <w:iCs/>
              </w:rPr>
              <w:t xml:space="preserve">Se trata de una típica acción tendiente a indemnizar a las personas con ocasión de la responsabilidad extracontractual en que pudo incurrir el Estado. En el análisis jurídico de la acción de reparación directa opera el principio </w:t>
            </w:r>
            <w:proofErr w:type="spellStart"/>
            <w:r w:rsidRPr="008F4D73">
              <w:rPr>
                <w:rFonts w:ascii="Arial" w:hAnsi="Arial" w:cs="Arial"/>
                <w:i/>
                <w:iCs/>
              </w:rPr>
              <w:t>iura</w:t>
            </w:r>
            <w:proofErr w:type="spellEnd"/>
            <w:r w:rsidRPr="008F4D73">
              <w:rPr>
                <w:rFonts w:ascii="Arial" w:hAnsi="Arial" w:cs="Arial"/>
                <w:i/>
                <w:iCs/>
              </w:rPr>
              <w:t xml:space="preserve"> </w:t>
            </w:r>
            <w:proofErr w:type="spellStart"/>
            <w:r w:rsidRPr="008F4D73">
              <w:rPr>
                <w:rFonts w:ascii="Arial" w:hAnsi="Arial" w:cs="Arial"/>
                <w:i/>
                <w:iCs/>
              </w:rPr>
              <w:t>novit</w:t>
            </w:r>
            <w:proofErr w:type="spellEnd"/>
            <w:r w:rsidRPr="008F4D73">
              <w:rPr>
                <w:rFonts w:ascii="Arial" w:hAnsi="Arial" w:cs="Arial"/>
                <w:i/>
                <w:iCs/>
              </w:rPr>
              <w:t xml:space="preserve"> curia, en la medida que a la persona interesada no le corresponde presentar las razones jurídicas de sus pretensiones, sino simplemente relatar los hechos, omisiones, operación u ocupación, para que el juez administrativo se pronuncie con base en el derecho aplicable al caso]”.</w:t>
            </w:r>
          </w:p>
          <w:p w14:paraId="1BE59A5E" w14:textId="77777777" w:rsidR="008F4D73" w:rsidRPr="008F4D73" w:rsidRDefault="008F4D73" w:rsidP="008F4D73">
            <w:pPr>
              <w:tabs>
                <w:tab w:val="left" w:pos="7513"/>
              </w:tabs>
              <w:spacing w:line="276" w:lineRule="auto"/>
              <w:jc w:val="both"/>
              <w:rPr>
                <w:rFonts w:ascii="Arial" w:hAnsi="Arial" w:cs="Arial"/>
              </w:rPr>
            </w:pPr>
          </w:p>
          <w:p w14:paraId="525FCF54" w14:textId="77777777" w:rsidR="008F4D73" w:rsidRPr="008F4D73" w:rsidRDefault="008F4D73" w:rsidP="008F4D73">
            <w:pPr>
              <w:tabs>
                <w:tab w:val="left" w:pos="7513"/>
              </w:tabs>
              <w:spacing w:line="276" w:lineRule="auto"/>
              <w:jc w:val="both"/>
              <w:rPr>
                <w:rFonts w:ascii="Arial" w:hAnsi="Arial" w:cs="Arial"/>
              </w:rPr>
            </w:pPr>
            <w:r w:rsidRPr="008F4D73">
              <w:rPr>
                <w:rFonts w:ascii="Arial" w:hAnsi="Arial" w:cs="Arial"/>
              </w:rPr>
              <w:t xml:space="preserve">Esta Acción o pretensión tiene su base en el artículo 90° de la Constitución Política de Colombia ARTICULO 90. </w:t>
            </w:r>
          </w:p>
          <w:p w14:paraId="40A1B8C9" w14:textId="77777777" w:rsidR="008F4D73" w:rsidRPr="008F4D73" w:rsidRDefault="008F4D73" w:rsidP="008F4D73">
            <w:pPr>
              <w:tabs>
                <w:tab w:val="left" w:pos="7513"/>
              </w:tabs>
              <w:spacing w:line="276" w:lineRule="auto"/>
              <w:jc w:val="both"/>
              <w:rPr>
                <w:rFonts w:ascii="Arial" w:hAnsi="Arial" w:cs="Arial"/>
              </w:rPr>
            </w:pPr>
          </w:p>
          <w:p w14:paraId="173AC6BF" w14:textId="77777777" w:rsidR="008F4D73" w:rsidRPr="008F4D73" w:rsidRDefault="008F4D73" w:rsidP="008F4D73">
            <w:pPr>
              <w:tabs>
                <w:tab w:val="left" w:pos="7513"/>
              </w:tabs>
              <w:spacing w:line="276" w:lineRule="auto"/>
              <w:jc w:val="both"/>
              <w:rPr>
                <w:rFonts w:ascii="Arial" w:hAnsi="Arial" w:cs="Arial"/>
                <w:i/>
                <w:iCs/>
              </w:rPr>
            </w:pPr>
            <w:r w:rsidRPr="008F4D73">
              <w:rPr>
                <w:rFonts w:ascii="Arial" w:hAnsi="Arial" w:cs="Arial"/>
                <w:i/>
                <w:iCs/>
              </w:rPr>
              <w:t xml:space="preserve">“[El Estado responderá patrimonialmente por los daños antijurídicos que le sean imputables, causados por la acción o la omisión de las autoridades públicas. </w:t>
            </w:r>
          </w:p>
          <w:p w14:paraId="44E74B0D" w14:textId="77777777" w:rsidR="008F4D73" w:rsidRPr="008F4D73" w:rsidRDefault="008F4D73" w:rsidP="008F4D73">
            <w:pPr>
              <w:tabs>
                <w:tab w:val="left" w:pos="7513"/>
              </w:tabs>
              <w:spacing w:line="276" w:lineRule="auto"/>
              <w:jc w:val="both"/>
              <w:rPr>
                <w:rFonts w:ascii="Arial" w:hAnsi="Arial" w:cs="Arial"/>
                <w:i/>
                <w:iCs/>
              </w:rPr>
            </w:pPr>
            <w:r w:rsidRPr="008F4D73">
              <w:rPr>
                <w:rFonts w:ascii="Arial" w:hAnsi="Arial" w:cs="Arial"/>
                <w:i/>
                <w:iCs/>
              </w:rPr>
              <w:t xml:space="preserve">En el evento de ser condenado el Estado a la reparación patrimonial de uno de tales daños, que haya sido consecuencia de la conducta dolosa o gravemente culposa de un agente suyo, aquél deberá repetir contra éste]”. </w:t>
            </w:r>
          </w:p>
          <w:p w14:paraId="78371E5E" w14:textId="77777777" w:rsidR="008F4D73" w:rsidRPr="008F4D73" w:rsidRDefault="008F4D73" w:rsidP="008F4D73">
            <w:pPr>
              <w:tabs>
                <w:tab w:val="left" w:pos="7513"/>
              </w:tabs>
              <w:spacing w:line="276" w:lineRule="auto"/>
              <w:jc w:val="both"/>
              <w:rPr>
                <w:rFonts w:ascii="Arial" w:hAnsi="Arial" w:cs="Arial"/>
              </w:rPr>
            </w:pPr>
          </w:p>
          <w:p w14:paraId="7594E485" w14:textId="77777777" w:rsidR="008F4D73" w:rsidRPr="008F4D73" w:rsidRDefault="008F4D73" w:rsidP="008F4D73">
            <w:pPr>
              <w:tabs>
                <w:tab w:val="left" w:pos="7513"/>
              </w:tabs>
              <w:spacing w:line="276" w:lineRule="auto"/>
              <w:jc w:val="both"/>
              <w:rPr>
                <w:rFonts w:ascii="Arial" w:hAnsi="Arial" w:cs="Arial"/>
              </w:rPr>
            </w:pPr>
            <w:r w:rsidRPr="008F4D73">
              <w:rPr>
                <w:rFonts w:ascii="Arial" w:hAnsi="Arial" w:cs="Arial"/>
              </w:rPr>
              <w:t>El Consejo de Estado, Sección Tercera, en reiteradas ocasiones, ha señalado que para que proceda la declaratoria de responsabilidad estatal, deben verificarse los siguientes presupuestos:</w:t>
            </w:r>
          </w:p>
          <w:p w14:paraId="6C0FC391" w14:textId="77777777" w:rsidR="008F4D73" w:rsidRPr="008F4D73" w:rsidRDefault="008F4D73" w:rsidP="008F4D73">
            <w:pPr>
              <w:tabs>
                <w:tab w:val="left" w:pos="7513"/>
              </w:tabs>
              <w:spacing w:line="276" w:lineRule="auto"/>
              <w:jc w:val="both"/>
              <w:rPr>
                <w:rFonts w:ascii="Arial" w:hAnsi="Arial" w:cs="Arial"/>
              </w:rPr>
            </w:pPr>
          </w:p>
          <w:p w14:paraId="33CE7841" w14:textId="77777777" w:rsidR="008F4D73" w:rsidRPr="008F4D73" w:rsidRDefault="008F4D73" w:rsidP="008F4D73">
            <w:pPr>
              <w:tabs>
                <w:tab w:val="left" w:pos="7513"/>
              </w:tabs>
              <w:spacing w:line="276" w:lineRule="auto"/>
              <w:jc w:val="both"/>
              <w:rPr>
                <w:rFonts w:ascii="Arial" w:hAnsi="Arial" w:cs="Arial"/>
                <w:i/>
                <w:iCs/>
              </w:rPr>
            </w:pPr>
            <w:r w:rsidRPr="008F4D73">
              <w:rPr>
                <w:rFonts w:ascii="Arial" w:hAnsi="Arial" w:cs="Arial"/>
                <w:i/>
                <w:iCs/>
              </w:rPr>
              <w:t>“[a) Una falta o falla del servicio o de la administración, por omisión, retardo, irregularidad, ineficiencia o ausencia del servicio. La falta de que se trata no es la del agente administrativo, sino la del servicio o anónima de la administración.</w:t>
            </w:r>
          </w:p>
          <w:p w14:paraId="12E822B8" w14:textId="77777777" w:rsidR="008F4D73" w:rsidRPr="008F4D73" w:rsidRDefault="008F4D73" w:rsidP="008F4D73">
            <w:pPr>
              <w:tabs>
                <w:tab w:val="left" w:pos="7513"/>
              </w:tabs>
              <w:spacing w:line="276" w:lineRule="auto"/>
              <w:jc w:val="both"/>
              <w:rPr>
                <w:rFonts w:ascii="Arial" w:hAnsi="Arial" w:cs="Arial"/>
                <w:i/>
                <w:iCs/>
              </w:rPr>
            </w:pPr>
          </w:p>
          <w:p w14:paraId="6E889CCC" w14:textId="77777777" w:rsidR="008F4D73" w:rsidRPr="008F4D73" w:rsidRDefault="008F4D73" w:rsidP="008F4D73">
            <w:pPr>
              <w:tabs>
                <w:tab w:val="left" w:pos="7513"/>
              </w:tabs>
              <w:spacing w:line="276" w:lineRule="auto"/>
              <w:jc w:val="both"/>
              <w:rPr>
                <w:rFonts w:ascii="Arial" w:hAnsi="Arial" w:cs="Arial"/>
                <w:i/>
                <w:iCs/>
              </w:rPr>
            </w:pPr>
            <w:r w:rsidRPr="008F4D73">
              <w:rPr>
                <w:rFonts w:ascii="Arial" w:hAnsi="Arial" w:cs="Arial"/>
                <w:i/>
                <w:iCs/>
              </w:rPr>
              <w:lastRenderedPageBreak/>
              <w:t>b) Lo anterior implica que la administración ha actuado o dejado de actuar, por lo que se excluyen los actos del agente, ajenos al servicio, ejecutados como simple ciudadano.</w:t>
            </w:r>
          </w:p>
          <w:p w14:paraId="09F4218B" w14:textId="77777777" w:rsidR="008F4D73" w:rsidRPr="008F4D73" w:rsidRDefault="008F4D73" w:rsidP="008F4D73">
            <w:pPr>
              <w:tabs>
                <w:tab w:val="left" w:pos="7513"/>
              </w:tabs>
              <w:spacing w:line="276" w:lineRule="auto"/>
              <w:jc w:val="both"/>
              <w:rPr>
                <w:rFonts w:ascii="Arial" w:hAnsi="Arial" w:cs="Arial"/>
                <w:i/>
                <w:iCs/>
              </w:rPr>
            </w:pPr>
          </w:p>
          <w:p w14:paraId="75B78678" w14:textId="77777777" w:rsidR="008F4D73" w:rsidRPr="008F4D73" w:rsidRDefault="008F4D73" w:rsidP="008F4D73">
            <w:pPr>
              <w:tabs>
                <w:tab w:val="left" w:pos="7513"/>
              </w:tabs>
              <w:spacing w:line="276" w:lineRule="auto"/>
              <w:jc w:val="both"/>
              <w:rPr>
                <w:rFonts w:ascii="Arial" w:hAnsi="Arial" w:cs="Arial"/>
                <w:i/>
                <w:iCs/>
              </w:rPr>
            </w:pPr>
            <w:r w:rsidRPr="008F4D73">
              <w:rPr>
                <w:rFonts w:ascii="Arial" w:hAnsi="Arial" w:cs="Arial"/>
                <w:i/>
                <w:iCs/>
              </w:rPr>
              <w:t>c) Un daño que implica la lesión o perturbación de un bien protegido por el derecho bien sea civil, administrativo, etc. con características generales predicadas en el derecho privado para el daño indemnizable, como de que sea cierto, determinado o determinable, etc.</w:t>
            </w:r>
          </w:p>
          <w:p w14:paraId="1CAE938B" w14:textId="77777777" w:rsidR="008F4D73" w:rsidRPr="008F4D73" w:rsidRDefault="008F4D73" w:rsidP="008F4D73">
            <w:pPr>
              <w:tabs>
                <w:tab w:val="left" w:pos="7513"/>
              </w:tabs>
              <w:spacing w:line="276" w:lineRule="auto"/>
              <w:jc w:val="both"/>
              <w:rPr>
                <w:rFonts w:ascii="Arial" w:hAnsi="Arial" w:cs="Arial"/>
                <w:i/>
                <w:iCs/>
              </w:rPr>
            </w:pPr>
          </w:p>
          <w:p w14:paraId="705F0F57" w14:textId="77777777" w:rsidR="008F4D73" w:rsidRPr="008F4D73" w:rsidRDefault="008F4D73" w:rsidP="008F4D73">
            <w:pPr>
              <w:tabs>
                <w:tab w:val="left" w:pos="7513"/>
              </w:tabs>
              <w:spacing w:line="276" w:lineRule="auto"/>
              <w:jc w:val="both"/>
              <w:rPr>
                <w:rFonts w:ascii="Arial" w:hAnsi="Arial" w:cs="Arial"/>
                <w:i/>
                <w:iCs/>
              </w:rPr>
            </w:pPr>
            <w:r w:rsidRPr="008F4D73">
              <w:rPr>
                <w:rFonts w:ascii="Arial" w:hAnsi="Arial" w:cs="Arial"/>
                <w:i/>
                <w:iCs/>
              </w:rPr>
              <w:t>d) Una relación de causalidad entre la falta o falla de la administración y el daño, sin la cual, aún demostradas la falta o falla del servicio, no habrá lugar a la indemnización...]”</w:t>
            </w:r>
          </w:p>
          <w:p w14:paraId="09DC6044" w14:textId="77777777" w:rsidR="008F4D73" w:rsidRPr="008F4D73" w:rsidRDefault="008F4D73" w:rsidP="008F4D73">
            <w:pPr>
              <w:tabs>
                <w:tab w:val="left" w:pos="7513"/>
              </w:tabs>
              <w:spacing w:line="276" w:lineRule="auto"/>
              <w:jc w:val="both"/>
              <w:rPr>
                <w:rFonts w:ascii="Arial" w:hAnsi="Arial" w:cs="Arial"/>
              </w:rPr>
            </w:pPr>
          </w:p>
          <w:p w14:paraId="6665B44B" w14:textId="77777777" w:rsidR="008F4D73" w:rsidRPr="008F4D73" w:rsidRDefault="008F4D73" w:rsidP="008F4D73">
            <w:pPr>
              <w:tabs>
                <w:tab w:val="left" w:pos="7513"/>
              </w:tabs>
              <w:spacing w:line="276" w:lineRule="auto"/>
              <w:jc w:val="both"/>
              <w:rPr>
                <w:rFonts w:ascii="Arial" w:hAnsi="Arial" w:cs="Arial"/>
              </w:rPr>
            </w:pPr>
            <w:r w:rsidRPr="008F4D73">
              <w:rPr>
                <w:rFonts w:ascii="Arial" w:hAnsi="Arial" w:cs="Arial"/>
              </w:rPr>
              <w:t>Para declarar o imputar responsabilidad al estado, en este caso a la SUPERINTENDENCIA DE NOTARIADO Y REGISTRO, por presunta falla del servicio es necesario hacer un análisis juicioso de cada uno de los presupuestos señalados por la normatividad ya referida, a fin de poder determinar si los mismos se cumplen o no.</w:t>
            </w:r>
          </w:p>
          <w:p w14:paraId="66C285CC" w14:textId="77777777" w:rsidR="008F4D73" w:rsidRPr="008F4D73" w:rsidRDefault="008F4D73" w:rsidP="008F4D73">
            <w:pPr>
              <w:tabs>
                <w:tab w:val="left" w:pos="7513"/>
              </w:tabs>
              <w:spacing w:line="276" w:lineRule="auto"/>
              <w:jc w:val="both"/>
              <w:rPr>
                <w:rFonts w:ascii="Arial" w:hAnsi="Arial" w:cs="Arial"/>
              </w:rPr>
            </w:pPr>
          </w:p>
          <w:p w14:paraId="4F93DA2B" w14:textId="77777777" w:rsidR="008F4D73" w:rsidRPr="008F4D73" w:rsidRDefault="008F4D73" w:rsidP="008F4D73">
            <w:pPr>
              <w:tabs>
                <w:tab w:val="left" w:pos="284"/>
              </w:tabs>
              <w:spacing w:line="276" w:lineRule="auto"/>
              <w:jc w:val="both"/>
              <w:rPr>
                <w:rFonts w:ascii="Arial" w:hAnsi="Arial" w:cs="Arial"/>
              </w:rPr>
            </w:pPr>
            <w:r w:rsidRPr="008F4D73">
              <w:rPr>
                <w:rFonts w:ascii="Arial" w:hAnsi="Arial" w:cs="Arial"/>
              </w:rPr>
              <w:t>-</w:t>
            </w:r>
            <w:r w:rsidRPr="008F4D73">
              <w:rPr>
                <w:rFonts w:ascii="Arial" w:hAnsi="Arial" w:cs="Arial"/>
              </w:rPr>
              <w:tab/>
              <w:t xml:space="preserve">El daño antijurídico, entendiendo por daño: toda lesión, menoscabo, detrimento, alteración o afectación negativa, perturbación, atropello de un bien jurídicamente tutelado. </w:t>
            </w:r>
          </w:p>
          <w:p w14:paraId="76259582" w14:textId="77777777" w:rsidR="008F4D73" w:rsidRPr="008F4D73" w:rsidRDefault="008F4D73" w:rsidP="008F4D73">
            <w:pPr>
              <w:tabs>
                <w:tab w:val="left" w:pos="7513"/>
              </w:tabs>
              <w:spacing w:line="276" w:lineRule="auto"/>
              <w:jc w:val="both"/>
              <w:rPr>
                <w:rFonts w:ascii="Arial" w:hAnsi="Arial" w:cs="Arial"/>
              </w:rPr>
            </w:pPr>
          </w:p>
          <w:p w14:paraId="1AE5A007" w14:textId="77777777" w:rsidR="008F4D73" w:rsidRPr="008F4D73" w:rsidRDefault="008F4D73" w:rsidP="008F4D73">
            <w:pPr>
              <w:tabs>
                <w:tab w:val="left" w:pos="284"/>
              </w:tabs>
              <w:spacing w:line="276" w:lineRule="auto"/>
              <w:jc w:val="both"/>
              <w:rPr>
                <w:rFonts w:ascii="Arial" w:hAnsi="Arial" w:cs="Arial"/>
              </w:rPr>
            </w:pPr>
            <w:r w:rsidRPr="008F4D73">
              <w:rPr>
                <w:rFonts w:ascii="Arial" w:hAnsi="Arial" w:cs="Arial"/>
              </w:rPr>
              <w:t>-</w:t>
            </w:r>
            <w:r w:rsidRPr="008F4D73">
              <w:rPr>
                <w:rFonts w:ascii="Arial" w:hAnsi="Arial" w:cs="Arial"/>
              </w:rPr>
              <w:tab/>
              <w:t>Antijurídico: Entendido como aquél que la víctima no está en obligación de soportar, por cuanto el ordenamiento jurídico no le impone la carga de sufrir el daño.</w:t>
            </w:r>
          </w:p>
          <w:p w14:paraId="7638F37F" w14:textId="77777777" w:rsidR="008F4D73" w:rsidRPr="008F4D73" w:rsidRDefault="008F4D73" w:rsidP="008F4D73">
            <w:pPr>
              <w:tabs>
                <w:tab w:val="left" w:pos="7513"/>
              </w:tabs>
              <w:spacing w:line="276" w:lineRule="auto"/>
              <w:jc w:val="both"/>
              <w:rPr>
                <w:rFonts w:ascii="Arial" w:hAnsi="Arial" w:cs="Arial"/>
              </w:rPr>
            </w:pPr>
            <w:r w:rsidRPr="008F4D73">
              <w:rPr>
                <w:rFonts w:ascii="Arial" w:hAnsi="Arial" w:cs="Arial"/>
              </w:rPr>
              <w:t xml:space="preserve"> </w:t>
            </w:r>
          </w:p>
          <w:p w14:paraId="01E24FDE" w14:textId="77777777" w:rsidR="008F4D73" w:rsidRPr="008F4D73" w:rsidRDefault="008F4D73" w:rsidP="008F4D73">
            <w:pPr>
              <w:tabs>
                <w:tab w:val="left" w:pos="284"/>
              </w:tabs>
              <w:spacing w:line="276" w:lineRule="auto"/>
              <w:jc w:val="both"/>
              <w:rPr>
                <w:rFonts w:ascii="Arial" w:hAnsi="Arial" w:cs="Arial"/>
              </w:rPr>
            </w:pPr>
            <w:r w:rsidRPr="008F4D73">
              <w:rPr>
                <w:rFonts w:ascii="Arial" w:hAnsi="Arial" w:cs="Arial"/>
              </w:rPr>
              <w:t>-</w:t>
            </w:r>
            <w:r w:rsidRPr="008F4D73">
              <w:rPr>
                <w:rFonts w:ascii="Arial" w:hAnsi="Arial" w:cs="Arial"/>
              </w:rPr>
              <w:tab/>
              <w:t>La imputación jurídica que se haga al estado: Entendida como la razón para atribuir la responsabilidad patrimonial al estado.</w:t>
            </w:r>
          </w:p>
          <w:p w14:paraId="621EAD85" w14:textId="77777777" w:rsidR="008F4D73" w:rsidRPr="008F4D73" w:rsidRDefault="008F4D73" w:rsidP="008F4D73">
            <w:pPr>
              <w:tabs>
                <w:tab w:val="left" w:pos="7513"/>
              </w:tabs>
              <w:spacing w:line="276" w:lineRule="auto"/>
              <w:jc w:val="both"/>
              <w:rPr>
                <w:rFonts w:ascii="Arial" w:hAnsi="Arial" w:cs="Arial"/>
              </w:rPr>
            </w:pPr>
          </w:p>
          <w:p w14:paraId="4DF3B829" w14:textId="5A0CD069" w:rsidR="008F4D73" w:rsidRPr="008F4D73" w:rsidRDefault="008F4D73" w:rsidP="008F4D73">
            <w:pPr>
              <w:tabs>
                <w:tab w:val="left" w:pos="7513"/>
              </w:tabs>
              <w:spacing w:line="276" w:lineRule="auto"/>
              <w:jc w:val="both"/>
              <w:rPr>
                <w:rFonts w:ascii="Arial" w:hAnsi="Arial" w:cs="Arial"/>
              </w:rPr>
            </w:pPr>
            <w:r w:rsidRPr="008F4D73">
              <w:rPr>
                <w:rFonts w:ascii="Arial" w:hAnsi="Arial" w:cs="Arial"/>
              </w:rPr>
              <w:t xml:space="preserve">Y no es solo probar la existencia del daño sino también determinar cuál es la acción u omisión en la que haya incurrido la administración y que como consecuencia dio origen de manera cierta y directa a ese daño sobre un bien jurídicamente tutelado que pueda ser objeto de reparación. Así las cosas, para el caso objeto de estudio es pertinente indicar que el convocante señala un supuesto actuar negligente atribuible a la Superintendencia de Notariado y Registro, al haberse registrado </w:t>
            </w:r>
            <w:r w:rsidR="005B5090">
              <w:rPr>
                <w:rFonts w:ascii="Arial" w:hAnsi="Arial" w:cs="Arial"/>
              </w:rPr>
              <w:t xml:space="preserve">las anotaciones número 28, 29 y 30 por medio de documentos inexistentes, que revistieron, en sus palabras, de legalidad los actos jurídicos posteriores en los cuales celebraron la referida compraventa, </w:t>
            </w:r>
            <w:r w:rsidRPr="008F4D73">
              <w:rPr>
                <w:rFonts w:ascii="Arial" w:hAnsi="Arial" w:cs="Arial"/>
              </w:rPr>
              <w:t xml:space="preserve"> con lo cual sostiene se ha causado una </w:t>
            </w:r>
            <w:r w:rsidR="005B5090" w:rsidRPr="008F4D73">
              <w:rPr>
                <w:rFonts w:ascii="Arial" w:hAnsi="Arial" w:cs="Arial"/>
              </w:rPr>
              <w:t>pérdida</w:t>
            </w:r>
            <w:r w:rsidRPr="008F4D73">
              <w:rPr>
                <w:rFonts w:ascii="Arial" w:hAnsi="Arial" w:cs="Arial"/>
              </w:rPr>
              <w:t xml:space="preserve"> de oportunidad, pero al contrario está claramente acreditado </w:t>
            </w:r>
            <w:r w:rsidRPr="008F4D73">
              <w:rPr>
                <w:rFonts w:ascii="Arial" w:hAnsi="Arial" w:cs="Arial"/>
              </w:rPr>
              <w:lastRenderedPageBreak/>
              <w:t>que el daño deviene de una presunta conducta delictiva por parte de un tercero ajeno a la Superintendencia de Notariado y Registro.</w:t>
            </w:r>
          </w:p>
          <w:p w14:paraId="19ECDC81" w14:textId="77777777" w:rsidR="008F4D73" w:rsidRPr="008F4D73" w:rsidRDefault="008F4D73" w:rsidP="008F4D73">
            <w:pPr>
              <w:tabs>
                <w:tab w:val="left" w:pos="7513"/>
              </w:tabs>
              <w:spacing w:line="276" w:lineRule="auto"/>
              <w:jc w:val="both"/>
              <w:rPr>
                <w:rFonts w:ascii="Arial" w:hAnsi="Arial" w:cs="Arial"/>
              </w:rPr>
            </w:pPr>
          </w:p>
          <w:p w14:paraId="2ED41203" w14:textId="3B32E198" w:rsidR="008F4D73" w:rsidRPr="008F4D73" w:rsidRDefault="008F4D73" w:rsidP="008F4D73">
            <w:pPr>
              <w:spacing w:line="276" w:lineRule="auto"/>
              <w:jc w:val="both"/>
              <w:rPr>
                <w:rFonts w:ascii="Arial" w:hAnsi="Arial" w:cs="Arial"/>
                <w:bCs/>
              </w:rPr>
            </w:pPr>
            <w:r w:rsidRPr="008F4D73">
              <w:rPr>
                <w:rFonts w:ascii="Arial" w:hAnsi="Arial" w:cs="Arial"/>
                <w:bCs/>
              </w:rPr>
              <w:t xml:space="preserve">El convocante pretende acudir al medio de control de Acción de Reparación Directa para que se declare responsable patrimonialmente a la Superintendencia de Notariado y Registro, sin tener en cuenta el origen del presunto daño que alega, toda vez que las actuaciones desplegadas por la ORIP de </w:t>
            </w:r>
            <w:r w:rsidR="005B5090">
              <w:rPr>
                <w:rFonts w:ascii="Arial" w:hAnsi="Arial" w:cs="Arial"/>
                <w:bCs/>
              </w:rPr>
              <w:t>Medellín Zona Sur</w:t>
            </w:r>
            <w:r w:rsidRPr="008F4D73">
              <w:rPr>
                <w:rFonts w:ascii="Arial" w:hAnsi="Arial" w:cs="Arial"/>
                <w:bCs/>
              </w:rPr>
              <w:t xml:space="preserve"> [Actuación administrativa] gozan del principio de legalidad.</w:t>
            </w:r>
          </w:p>
          <w:p w14:paraId="18C3CC11" w14:textId="77777777" w:rsidR="008F4D73" w:rsidRPr="008F4D73" w:rsidRDefault="008F4D73" w:rsidP="008F4D73">
            <w:pPr>
              <w:spacing w:line="276" w:lineRule="auto"/>
              <w:jc w:val="both"/>
              <w:rPr>
                <w:rFonts w:ascii="Arial" w:hAnsi="Arial" w:cs="Arial"/>
                <w:bCs/>
              </w:rPr>
            </w:pPr>
          </w:p>
          <w:p w14:paraId="2A786CE3" w14:textId="77777777" w:rsidR="008F4D73" w:rsidRPr="008F4D73" w:rsidRDefault="008F4D73" w:rsidP="008F4D73">
            <w:pPr>
              <w:spacing w:line="276" w:lineRule="auto"/>
              <w:jc w:val="both"/>
              <w:rPr>
                <w:rFonts w:ascii="Arial" w:hAnsi="Arial" w:cs="Arial"/>
                <w:bCs/>
              </w:rPr>
            </w:pPr>
            <w:r w:rsidRPr="008F4D73">
              <w:rPr>
                <w:rFonts w:ascii="Arial" w:hAnsi="Arial" w:cs="Arial"/>
                <w:bCs/>
              </w:rPr>
              <w:t xml:space="preserve">La función registral es de naturaleza </w:t>
            </w:r>
            <w:r w:rsidRPr="008F4D73">
              <w:rPr>
                <w:rFonts w:ascii="Arial" w:hAnsi="Arial" w:cs="Arial"/>
                <w:b/>
                <w:bCs/>
              </w:rPr>
              <w:t>rogada y reglada</w:t>
            </w:r>
            <w:r w:rsidRPr="008F4D73">
              <w:rPr>
                <w:rFonts w:ascii="Arial" w:hAnsi="Arial" w:cs="Arial"/>
                <w:bCs/>
              </w:rPr>
              <w:t>, de modo que el registrador obra conforme a lo que consta en los títulos y oficios remitidos por las autoridades judiciales, como se establece en el artículo tercero de la Ley 1579 de 2012:</w:t>
            </w:r>
          </w:p>
          <w:p w14:paraId="68F60998" w14:textId="77777777" w:rsidR="008F4D73" w:rsidRPr="008F4D73" w:rsidRDefault="008F4D73" w:rsidP="008F4D73">
            <w:pPr>
              <w:spacing w:line="276" w:lineRule="auto"/>
              <w:jc w:val="both"/>
              <w:rPr>
                <w:rFonts w:ascii="Arial" w:hAnsi="Arial" w:cs="Arial"/>
                <w:bCs/>
              </w:rPr>
            </w:pPr>
          </w:p>
          <w:p w14:paraId="41DAF0D9" w14:textId="77777777" w:rsidR="008F4D73" w:rsidRPr="008F4D73" w:rsidRDefault="008F4D73" w:rsidP="008F4D73">
            <w:pPr>
              <w:spacing w:line="276" w:lineRule="auto"/>
              <w:jc w:val="both"/>
              <w:rPr>
                <w:rFonts w:ascii="Arial" w:hAnsi="Arial" w:cs="Arial"/>
                <w:bCs/>
                <w:i/>
              </w:rPr>
            </w:pPr>
            <w:bookmarkStart w:id="1" w:name="3"/>
            <w:r w:rsidRPr="008F4D73">
              <w:rPr>
                <w:rFonts w:ascii="Arial" w:hAnsi="Arial" w:cs="Arial"/>
                <w:b/>
                <w:bCs/>
              </w:rPr>
              <w:t>“[</w:t>
            </w:r>
            <w:r w:rsidRPr="008F4D73">
              <w:rPr>
                <w:rFonts w:ascii="Arial" w:hAnsi="Arial" w:cs="Arial"/>
                <w:b/>
                <w:bCs/>
                <w:i/>
              </w:rPr>
              <w:t>ARTÍCULO 3o PRINCIPIOS.</w:t>
            </w:r>
            <w:bookmarkEnd w:id="1"/>
            <w:r w:rsidRPr="008F4D73">
              <w:rPr>
                <w:rFonts w:ascii="Arial" w:hAnsi="Arial" w:cs="Arial"/>
                <w:bCs/>
                <w:i/>
              </w:rPr>
              <w:t> Las reglas fundamentales que sirven de base al sistema registral son los principios de:</w:t>
            </w:r>
          </w:p>
          <w:p w14:paraId="07568C80" w14:textId="77777777" w:rsidR="008F4D73" w:rsidRPr="008F4D73" w:rsidRDefault="008F4D73" w:rsidP="008F4D73">
            <w:pPr>
              <w:spacing w:line="276" w:lineRule="auto"/>
              <w:jc w:val="both"/>
              <w:rPr>
                <w:rFonts w:ascii="Arial" w:hAnsi="Arial" w:cs="Arial"/>
                <w:bCs/>
                <w:i/>
              </w:rPr>
            </w:pPr>
            <w:r w:rsidRPr="008F4D73">
              <w:rPr>
                <w:rFonts w:ascii="Arial" w:hAnsi="Arial" w:cs="Arial"/>
                <w:bCs/>
                <w:i/>
              </w:rPr>
              <w:t>a) </w:t>
            </w:r>
            <w:r w:rsidRPr="008F4D73">
              <w:rPr>
                <w:rFonts w:ascii="Arial" w:hAnsi="Arial" w:cs="Arial"/>
                <w:b/>
                <w:bCs/>
                <w:i/>
              </w:rPr>
              <w:t>Rogación. </w:t>
            </w:r>
            <w:r w:rsidRPr="008F4D73">
              <w:rPr>
                <w:rFonts w:ascii="Arial" w:hAnsi="Arial" w:cs="Arial"/>
                <w:bCs/>
                <w:i/>
              </w:rPr>
              <w:t>Los asientos en el registro se practican a solicitud de parte interesada, del Notario, por orden de autoridad judicial o administrativa.</w:t>
            </w:r>
          </w:p>
          <w:p w14:paraId="1E58D1E9" w14:textId="77777777" w:rsidR="008F4D73" w:rsidRPr="008F4D73" w:rsidRDefault="008F4D73" w:rsidP="008F4D73">
            <w:pPr>
              <w:spacing w:line="276" w:lineRule="auto"/>
              <w:jc w:val="both"/>
              <w:rPr>
                <w:rFonts w:ascii="Arial" w:hAnsi="Arial" w:cs="Arial"/>
                <w:bCs/>
                <w:i/>
              </w:rPr>
            </w:pPr>
            <w:r w:rsidRPr="008F4D73">
              <w:rPr>
                <w:rFonts w:ascii="Arial" w:hAnsi="Arial" w:cs="Arial"/>
                <w:bCs/>
                <w:i/>
              </w:rPr>
              <w:t>El Registrador de Instrumentos Públicos sólo podrá hacer inscripciones de oficio cuando la ley lo autorice;]”</w:t>
            </w:r>
          </w:p>
          <w:p w14:paraId="50798F17" w14:textId="77777777" w:rsidR="008F4D73" w:rsidRPr="008F4D73" w:rsidRDefault="008F4D73" w:rsidP="008F4D73">
            <w:pPr>
              <w:tabs>
                <w:tab w:val="left" w:pos="7513"/>
              </w:tabs>
              <w:spacing w:line="276" w:lineRule="auto"/>
              <w:jc w:val="both"/>
              <w:rPr>
                <w:rFonts w:ascii="Arial" w:hAnsi="Arial" w:cs="Arial"/>
              </w:rPr>
            </w:pPr>
          </w:p>
          <w:p w14:paraId="0D521498" w14:textId="77777777" w:rsidR="00AC289E" w:rsidRDefault="00AC289E" w:rsidP="00AC289E">
            <w:pPr>
              <w:tabs>
                <w:tab w:val="left" w:pos="7513"/>
              </w:tabs>
              <w:spacing w:line="276" w:lineRule="auto"/>
              <w:jc w:val="both"/>
              <w:rPr>
                <w:rFonts w:ascii="Arial" w:hAnsi="Arial" w:cs="Arial"/>
                <w:b/>
                <w:bCs/>
              </w:rPr>
            </w:pPr>
          </w:p>
          <w:p w14:paraId="20ECCD9C" w14:textId="77777777" w:rsidR="00AC289E" w:rsidRPr="00E75810" w:rsidRDefault="00AC289E" w:rsidP="00AC289E">
            <w:pPr>
              <w:spacing w:line="276" w:lineRule="auto"/>
              <w:jc w:val="both"/>
              <w:rPr>
                <w:rFonts w:ascii="Arial" w:hAnsi="Arial" w:cs="Arial"/>
                <w:b/>
              </w:rPr>
            </w:pPr>
            <w:r w:rsidRPr="00E75810">
              <w:rPr>
                <w:rFonts w:ascii="Arial" w:hAnsi="Arial" w:cs="Arial"/>
                <w:b/>
              </w:rPr>
              <w:t>DE LA ACTUACIÓN ADMINISTRATIVA ADELANTADA:</w:t>
            </w:r>
          </w:p>
          <w:p w14:paraId="37988A9A" w14:textId="77777777" w:rsidR="00AC289E" w:rsidRDefault="00AC289E" w:rsidP="00AC289E">
            <w:pPr>
              <w:spacing w:line="276" w:lineRule="auto"/>
              <w:jc w:val="both"/>
              <w:rPr>
                <w:rFonts w:ascii="Arial" w:hAnsi="Arial" w:cs="Arial"/>
                <w:bCs/>
              </w:rPr>
            </w:pPr>
          </w:p>
          <w:p w14:paraId="720A00DF" w14:textId="77777777" w:rsidR="00AC289E" w:rsidRDefault="00AC289E" w:rsidP="00AC289E">
            <w:pPr>
              <w:spacing w:line="276" w:lineRule="auto"/>
              <w:jc w:val="both"/>
              <w:rPr>
                <w:rFonts w:ascii="Arial" w:hAnsi="Arial" w:cs="Arial"/>
                <w:bCs/>
              </w:rPr>
            </w:pPr>
            <w:r>
              <w:rPr>
                <w:rFonts w:ascii="Arial" w:hAnsi="Arial" w:cs="Arial"/>
                <w:bCs/>
              </w:rPr>
              <w:t>Fechas relevantes:</w:t>
            </w:r>
          </w:p>
          <w:p w14:paraId="04D05D6E" w14:textId="77777777" w:rsidR="00AC289E" w:rsidRDefault="00AC289E" w:rsidP="00AC289E">
            <w:pPr>
              <w:spacing w:line="276" w:lineRule="auto"/>
              <w:jc w:val="both"/>
              <w:rPr>
                <w:rFonts w:ascii="Arial" w:hAnsi="Arial" w:cs="Arial"/>
                <w:bCs/>
              </w:rPr>
            </w:pPr>
          </w:p>
          <w:p w14:paraId="489D0686" w14:textId="77777777" w:rsidR="00AC289E" w:rsidRPr="00E75810" w:rsidRDefault="00AC289E" w:rsidP="00AC289E">
            <w:pPr>
              <w:spacing w:line="276" w:lineRule="auto"/>
              <w:jc w:val="both"/>
              <w:rPr>
                <w:rFonts w:ascii="Arial" w:hAnsi="Arial" w:cs="Arial"/>
                <w:b/>
              </w:rPr>
            </w:pPr>
            <w:r>
              <w:rPr>
                <w:rFonts w:ascii="Arial" w:hAnsi="Arial" w:cs="Arial"/>
                <w:b/>
              </w:rPr>
              <w:t>20 de noviembre de 2023</w:t>
            </w:r>
          </w:p>
          <w:p w14:paraId="4B101A0C" w14:textId="77777777" w:rsidR="00AC289E" w:rsidRDefault="00AC289E" w:rsidP="00AC289E">
            <w:pPr>
              <w:spacing w:line="276" w:lineRule="auto"/>
              <w:jc w:val="both"/>
              <w:rPr>
                <w:rFonts w:ascii="Arial" w:hAnsi="Arial" w:cs="Arial"/>
                <w:bCs/>
              </w:rPr>
            </w:pPr>
            <w:r>
              <w:rPr>
                <w:rFonts w:ascii="Arial" w:hAnsi="Arial" w:cs="Arial"/>
                <w:bCs/>
              </w:rPr>
              <w:t>Ingresó solicitud de corrección C2023-5691 por parte de la Sociedad de Activos Especiales S.A.S., donde solicita apertura de actuación administrativa, toda vez que el inmueble no se encuentra en comercialización, además indican que la Resolución N° 772 del 23 de enero de 2023 no fue expedida por la SAE S.A.S.</w:t>
            </w:r>
          </w:p>
          <w:p w14:paraId="43C41042" w14:textId="77777777" w:rsidR="00AC289E" w:rsidRPr="00E75810" w:rsidRDefault="00AC289E" w:rsidP="00AC289E">
            <w:pPr>
              <w:spacing w:line="276" w:lineRule="auto"/>
              <w:jc w:val="both"/>
              <w:rPr>
                <w:rFonts w:ascii="Arial" w:hAnsi="Arial" w:cs="Arial"/>
                <w:bCs/>
              </w:rPr>
            </w:pPr>
            <w:r>
              <w:rPr>
                <w:rFonts w:ascii="Arial" w:hAnsi="Arial" w:cs="Arial"/>
                <w:bCs/>
              </w:rPr>
              <w:t xml:space="preserve">Se aportó respuesta por parte de la Fiscalía General de la Nación en donde manifiesta que el oficio N° 113F-41 del 27 de julio de 2023 que contiene la cancelación de la medida cautelar de embargo y oficio N° 241F-41 del 04 de agosto de 2023 que contiene la </w:t>
            </w:r>
            <w:r>
              <w:rPr>
                <w:rFonts w:ascii="Arial" w:hAnsi="Arial" w:cs="Arial"/>
                <w:bCs/>
              </w:rPr>
              <w:lastRenderedPageBreak/>
              <w:t>cancelación de la suspensión del poder dispositivo, son falsos. Además, aporta denuncia penal.</w:t>
            </w:r>
          </w:p>
          <w:p w14:paraId="53B07BE8" w14:textId="77777777" w:rsidR="00AC289E" w:rsidRPr="00E75810" w:rsidRDefault="00AC289E" w:rsidP="00AC289E">
            <w:pPr>
              <w:spacing w:line="276" w:lineRule="auto"/>
              <w:jc w:val="both"/>
              <w:rPr>
                <w:rFonts w:ascii="Arial" w:hAnsi="Arial" w:cs="Arial"/>
                <w:bCs/>
              </w:rPr>
            </w:pPr>
          </w:p>
          <w:p w14:paraId="348E5B82" w14:textId="77777777" w:rsidR="00AC289E" w:rsidRPr="00E75810" w:rsidRDefault="00AC289E" w:rsidP="00AC289E">
            <w:pPr>
              <w:spacing w:line="276" w:lineRule="auto"/>
              <w:jc w:val="both"/>
              <w:rPr>
                <w:rFonts w:ascii="Arial" w:hAnsi="Arial" w:cs="Arial"/>
                <w:b/>
              </w:rPr>
            </w:pPr>
            <w:r>
              <w:rPr>
                <w:rFonts w:ascii="Arial" w:hAnsi="Arial" w:cs="Arial"/>
                <w:b/>
              </w:rPr>
              <w:t>05 de diciembre de 2023</w:t>
            </w:r>
          </w:p>
          <w:p w14:paraId="5459571A" w14:textId="77777777" w:rsidR="00AC289E" w:rsidRPr="00E75810" w:rsidRDefault="00AC289E" w:rsidP="00AC289E">
            <w:pPr>
              <w:spacing w:line="276" w:lineRule="auto"/>
              <w:jc w:val="both"/>
              <w:rPr>
                <w:rFonts w:ascii="Arial" w:hAnsi="Arial" w:cs="Arial"/>
                <w:bCs/>
              </w:rPr>
            </w:pPr>
            <w:r>
              <w:rPr>
                <w:rFonts w:ascii="Arial" w:hAnsi="Arial" w:cs="Arial"/>
                <w:bCs/>
              </w:rPr>
              <w:t>Mediante auto N° 169 del 05 de diciembre de 2023 se dio inicio a actuación administrativa N° 74 del 05 de diciembre de 2023, con el fin de establecer la real situación jurídica del bien inmueble con matrícula inmobiliaria N° 001-315387.</w:t>
            </w:r>
          </w:p>
          <w:p w14:paraId="026F683A" w14:textId="77777777" w:rsidR="00AC289E" w:rsidRPr="00E75810" w:rsidRDefault="00AC289E" w:rsidP="00AC289E">
            <w:pPr>
              <w:spacing w:line="276" w:lineRule="auto"/>
              <w:jc w:val="both"/>
              <w:rPr>
                <w:rFonts w:ascii="Arial" w:hAnsi="Arial" w:cs="Arial"/>
                <w:bCs/>
              </w:rPr>
            </w:pPr>
          </w:p>
          <w:p w14:paraId="06FE1C24" w14:textId="77777777" w:rsidR="00AC289E" w:rsidRPr="00E75810" w:rsidRDefault="00AC289E" w:rsidP="00AC289E">
            <w:pPr>
              <w:spacing w:line="276" w:lineRule="auto"/>
              <w:jc w:val="both"/>
              <w:rPr>
                <w:rFonts w:ascii="Arial" w:hAnsi="Arial" w:cs="Arial"/>
                <w:b/>
              </w:rPr>
            </w:pPr>
            <w:r>
              <w:rPr>
                <w:rFonts w:ascii="Arial" w:hAnsi="Arial" w:cs="Arial"/>
                <w:b/>
              </w:rPr>
              <w:t>20 de febrero de 2024</w:t>
            </w:r>
          </w:p>
          <w:p w14:paraId="5D8A44DB" w14:textId="77777777" w:rsidR="00AC289E" w:rsidRPr="00E75810" w:rsidRDefault="00AC289E" w:rsidP="00AC289E">
            <w:pPr>
              <w:spacing w:line="276" w:lineRule="auto"/>
              <w:jc w:val="both"/>
              <w:rPr>
                <w:rFonts w:ascii="Arial" w:hAnsi="Arial" w:cs="Arial"/>
                <w:bCs/>
              </w:rPr>
            </w:pPr>
            <w:r w:rsidRPr="00E75810">
              <w:rPr>
                <w:rFonts w:ascii="Arial" w:hAnsi="Arial" w:cs="Arial"/>
                <w:bCs/>
              </w:rPr>
              <w:t xml:space="preserve">ORIP </w:t>
            </w:r>
            <w:r>
              <w:rPr>
                <w:rFonts w:ascii="Arial" w:hAnsi="Arial" w:cs="Arial"/>
                <w:bCs/>
              </w:rPr>
              <w:t>Medellín Sur</w:t>
            </w:r>
            <w:r w:rsidRPr="00E75810">
              <w:rPr>
                <w:rFonts w:ascii="Arial" w:hAnsi="Arial" w:cs="Arial"/>
                <w:bCs/>
              </w:rPr>
              <w:t xml:space="preserve"> expide Resolución </w:t>
            </w:r>
            <w:r>
              <w:rPr>
                <w:rFonts w:ascii="Arial" w:hAnsi="Arial" w:cs="Arial"/>
                <w:bCs/>
              </w:rPr>
              <w:t>113</w:t>
            </w:r>
            <w:r w:rsidRPr="00E75810">
              <w:rPr>
                <w:rFonts w:ascii="Arial" w:hAnsi="Arial" w:cs="Arial"/>
                <w:bCs/>
              </w:rPr>
              <w:t xml:space="preserve"> de 2024, dejando sin efecto registral la</w:t>
            </w:r>
            <w:r>
              <w:rPr>
                <w:rFonts w:ascii="Arial" w:hAnsi="Arial" w:cs="Arial"/>
                <w:bCs/>
              </w:rPr>
              <w:t>s</w:t>
            </w:r>
            <w:r w:rsidRPr="00E75810">
              <w:rPr>
                <w:rFonts w:ascii="Arial" w:hAnsi="Arial" w:cs="Arial"/>
                <w:bCs/>
              </w:rPr>
              <w:t xml:space="preserve"> anotaci</w:t>
            </w:r>
            <w:r>
              <w:rPr>
                <w:rFonts w:ascii="Arial" w:hAnsi="Arial" w:cs="Arial"/>
                <w:bCs/>
              </w:rPr>
              <w:t>ones</w:t>
            </w:r>
            <w:r w:rsidRPr="00E75810">
              <w:rPr>
                <w:rFonts w:ascii="Arial" w:hAnsi="Arial" w:cs="Arial"/>
                <w:bCs/>
              </w:rPr>
              <w:t xml:space="preserve"> N</w:t>
            </w:r>
            <w:r>
              <w:rPr>
                <w:rFonts w:ascii="Arial" w:hAnsi="Arial" w:cs="Arial"/>
                <w:bCs/>
              </w:rPr>
              <w:t>° 28, 29 y 30 del folio de matrícula inmobiliaria 001-315387</w:t>
            </w:r>
            <w:r w:rsidRPr="00E75810">
              <w:rPr>
                <w:rFonts w:ascii="Arial" w:hAnsi="Arial" w:cs="Arial"/>
                <w:bCs/>
              </w:rPr>
              <w:t xml:space="preserve"> (</w:t>
            </w:r>
            <w:r>
              <w:rPr>
                <w:rFonts w:ascii="Arial" w:hAnsi="Arial" w:cs="Arial"/>
                <w:bCs/>
              </w:rPr>
              <w:t>cancelación del embargo, cancelación de la suspensión del poder dispositivo y autorización de enajenación temprana del inmueble</w:t>
            </w:r>
            <w:r w:rsidRPr="00E75810">
              <w:rPr>
                <w:rFonts w:ascii="Arial" w:hAnsi="Arial" w:cs="Arial"/>
                <w:bCs/>
              </w:rPr>
              <w:t>).</w:t>
            </w:r>
          </w:p>
          <w:p w14:paraId="1C8063BD" w14:textId="77777777" w:rsidR="00AC289E" w:rsidRPr="00E75810" w:rsidRDefault="00AC289E" w:rsidP="00AC289E">
            <w:pPr>
              <w:spacing w:line="276" w:lineRule="auto"/>
              <w:jc w:val="both"/>
              <w:rPr>
                <w:rFonts w:ascii="Arial" w:hAnsi="Arial" w:cs="Arial"/>
                <w:bCs/>
              </w:rPr>
            </w:pPr>
          </w:p>
          <w:p w14:paraId="047EFA38" w14:textId="77777777" w:rsidR="00AC289E" w:rsidRPr="00E75810" w:rsidRDefault="00AC289E" w:rsidP="00AC289E">
            <w:pPr>
              <w:spacing w:line="276" w:lineRule="auto"/>
              <w:jc w:val="both"/>
              <w:rPr>
                <w:rFonts w:ascii="Arial" w:hAnsi="Arial" w:cs="Arial"/>
                <w:b/>
              </w:rPr>
            </w:pPr>
            <w:r>
              <w:rPr>
                <w:rFonts w:ascii="Arial" w:hAnsi="Arial" w:cs="Arial"/>
                <w:b/>
              </w:rPr>
              <w:t>15 de abril</w:t>
            </w:r>
            <w:r w:rsidRPr="00E75810">
              <w:rPr>
                <w:rFonts w:ascii="Arial" w:hAnsi="Arial" w:cs="Arial"/>
                <w:b/>
              </w:rPr>
              <w:t xml:space="preserve"> de 2024</w:t>
            </w:r>
          </w:p>
          <w:p w14:paraId="1651DE6F" w14:textId="77777777" w:rsidR="00AC289E" w:rsidRDefault="00AC289E" w:rsidP="00AC289E">
            <w:pPr>
              <w:tabs>
                <w:tab w:val="left" w:pos="7513"/>
              </w:tabs>
              <w:spacing w:line="276" w:lineRule="auto"/>
              <w:jc w:val="both"/>
              <w:rPr>
                <w:rFonts w:ascii="Arial" w:hAnsi="Arial" w:cs="Arial"/>
                <w:bCs/>
              </w:rPr>
            </w:pPr>
            <w:r>
              <w:rPr>
                <w:rFonts w:ascii="Arial" w:hAnsi="Arial" w:cs="Arial"/>
                <w:bCs/>
              </w:rPr>
              <w:t>Ejecutoria de la resolución N° 113 del 20 de febrero de 2024.</w:t>
            </w:r>
          </w:p>
          <w:p w14:paraId="5DCF029E" w14:textId="77777777" w:rsidR="00AC289E" w:rsidRDefault="00AC289E" w:rsidP="00AC289E">
            <w:pPr>
              <w:tabs>
                <w:tab w:val="left" w:pos="7513"/>
              </w:tabs>
              <w:spacing w:line="276" w:lineRule="auto"/>
              <w:jc w:val="both"/>
              <w:rPr>
                <w:rFonts w:ascii="Arial" w:hAnsi="Arial" w:cs="Arial"/>
                <w:bCs/>
              </w:rPr>
            </w:pPr>
          </w:p>
          <w:p w14:paraId="69A44D60" w14:textId="77777777" w:rsidR="00AC289E" w:rsidRPr="00E75810" w:rsidRDefault="00AC289E" w:rsidP="00AC289E">
            <w:pPr>
              <w:tabs>
                <w:tab w:val="left" w:pos="7513"/>
              </w:tabs>
              <w:spacing w:line="276" w:lineRule="auto"/>
              <w:jc w:val="both"/>
              <w:rPr>
                <w:rFonts w:ascii="Arial" w:hAnsi="Arial" w:cs="Arial"/>
                <w:b/>
                <w:bCs/>
                <w:lang w:val="es-CO"/>
              </w:rPr>
            </w:pPr>
            <w:r>
              <w:rPr>
                <w:rFonts w:ascii="Arial" w:hAnsi="Arial" w:cs="Arial"/>
                <w:b/>
                <w:bCs/>
                <w:lang w:val="es-CO"/>
              </w:rPr>
              <w:t>16 de abril de 2024</w:t>
            </w:r>
          </w:p>
          <w:p w14:paraId="5F393DE1" w14:textId="77777777" w:rsidR="00AC289E" w:rsidRDefault="00AC289E" w:rsidP="00AC289E">
            <w:pPr>
              <w:tabs>
                <w:tab w:val="left" w:pos="7513"/>
              </w:tabs>
              <w:spacing w:line="276" w:lineRule="auto"/>
              <w:jc w:val="both"/>
              <w:rPr>
                <w:rFonts w:ascii="Arial" w:hAnsi="Arial" w:cs="Arial"/>
                <w:lang w:val="es-CO"/>
              </w:rPr>
            </w:pPr>
            <w:r>
              <w:rPr>
                <w:rFonts w:ascii="Arial" w:hAnsi="Arial" w:cs="Arial"/>
                <w:lang w:val="es-CO"/>
              </w:rPr>
              <w:t>Se expide nota devolutiva respecto de la compraventa celebrada por los convocantes, esta es notificada el 18 de abril de 2024.</w:t>
            </w:r>
          </w:p>
          <w:p w14:paraId="3207D10F" w14:textId="77777777" w:rsidR="00AC289E" w:rsidRDefault="00AC289E" w:rsidP="00AC289E">
            <w:pPr>
              <w:tabs>
                <w:tab w:val="left" w:pos="7513"/>
              </w:tabs>
              <w:spacing w:line="276" w:lineRule="auto"/>
              <w:jc w:val="both"/>
              <w:rPr>
                <w:rFonts w:ascii="Arial" w:hAnsi="Arial" w:cs="Arial"/>
                <w:lang w:val="es-CO"/>
              </w:rPr>
            </w:pPr>
          </w:p>
          <w:p w14:paraId="70EBEAA3" w14:textId="77777777" w:rsidR="00AC289E" w:rsidRDefault="00AC289E" w:rsidP="00AC289E">
            <w:pPr>
              <w:tabs>
                <w:tab w:val="left" w:pos="7513"/>
              </w:tabs>
              <w:spacing w:line="276" w:lineRule="auto"/>
              <w:jc w:val="both"/>
              <w:rPr>
                <w:rFonts w:ascii="Arial" w:hAnsi="Arial" w:cs="Arial"/>
                <w:lang w:val="es-CO"/>
              </w:rPr>
            </w:pPr>
            <w:r>
              <w:rPr>
                <w:rFonts w:ascii="Arial" w:hAnsi="Arial" w:cs="Arial"/>
                <w:lang w:val="es-CO"/>
              </w:rPr>
              <w:t>Argumentos de la ORIP:</w:t>
            </w:r>
          </w:p>
          <w:p w14:paraId="25956647" w14:textId="77777777" w:rsidR="00AC289E" w:rsidRDefault="00AC289E" w:rsidP="00AC289E">
            <w:pPr>
              <w:tabs>
                <w:tab w:val="left" w:pos="7513"/>
              </w:tabs>
              <w:spacing w:line="276" w:lineRule="auto"/>
              <w:jc w:val="both"/>
              <w:rPr>
                <w:rFonts w:ascii="Arial" w:hAnsi="Arial" w:cs="Arial"/>
                <w:lang w:val="es-CO"/>
              </w:rPr>
            </w:pPr>
          </w:p>
          <w:p w14:paraId="6F817D65" w14:textId="77777777" w:rsidR="00AC289E" w:rsidRPr="00E75810" w:rsidRDefault="00AC289E" w:rsidP="00AC289E">
            <w:pPr>
              <w:tabs>
                <w:tab w:val="left" w:pos="7513"/>
              </w:tabs>
              <w:spacing w:line="276" w:lineRule="auto"/>
              <w:jc w:val="both"/>
              <w:rPr>
                <w:rFonts w:ascii="Arial" w:hAnsi="Arial" w:cs="Arial"/>
                <w:lang w:val="es-CO"/>
              </w:rPr>
            </w:pPr>
            <w:r w:rsidRPr="00E75810">
              <w:rPr>
                <w:rFonts w:ascii="Arial" w:hAnsi="Arial" w:cs="Arial"/>
                <w:lang w:val="es-CO"/>
              </w:rPr>
              <w:t xml:space="preserve">De conformidad con las directrices impartidas a los Registradores de Instrumentos Públicos en la </w:t>
            </w:r>
            <w:r w:rsidRPr="00E75810">
              <w:rPr>
                <w:rFonts w:ascii="Arial" w:hAnsi="Arial" w:cs="Arial"/>
                <w:b/>
                <w:bCs/>
                <w:lang w:val="es-CO"/>
              </w:rPr>
              <w:t>Instrucción Administrativa 11 de 2015 de la SNR</w:t>
            </w:r>
            <w:r w:rsidRPr="00E75810">
              <w:rPr>
                <w:rFonts w:ascii="Arial" w:hAnsi="Arial" w:cs="Arial"/>
                <w:lang w:val="es-CO"/>
              </w:rPr>
              <w:t xml:space="preserve">, la anotación realizada con fundamento en un documento o título </w:t>
            </w:r>
            <w:r w:rsidRPr="00E75810">
              <w:rPr>
                <w:rFonts w:ascii="Arial" w:hAnsi="Arial" w:cs="Arial"/>
                <w:b/>
                <w:bCs/>
                <w:lang w:val="es-CO"/>
              </w:rPr>
              <w:t>inexistente</w:t>
            </w:r>
            <w:r w:rsidRPr="00E75810">
              <w:rPr>
                <w:rFonts w:ascii="Arial" w:hAnsi="Arial" w:cs="Arial"/>
                <w:lang w:val="es-CO"/>
              </w:rPr>
              <w:t xml:space="preserve"> no constituye un error ocurrido durante el proceso de registro. Sin embargo, lo que debe corregirse no es el asiento registral en sí mismo, sino la </w:t>
            </w:r>
            <w:r w:rsidRPr="00E75810">
              <w:rPr>
                <w:rFonts w:ascii="Arial" w:hAnsi="Arial" w:cs="Arial"/>
                <w:b/>
                <w:bCs/>
                <w:lang w:val="es-CO"/>
              </w:rPr>
              <w:t>situación de inseguridad jurídica</w:t>
            </w:r>
            <w:r w:rsidRPr="00E75810">
              <w:rPr>
                <w:rFonts w:ascii="Arial" w:hAnsi="Arial" w:cs="Arial"/>
                <w:lang w:val="es-CO"/>
              </w:rPr>
              <w:t xml:space="preserve"> generada por haber incorporado al registro público inmobiliario actos derivados de tales documentos o títulos inexistentes.</w:t>
            </w:r>
          </w:p>
          <w:p w14:paraId="55B47018" w14:textId="77777777" w:rsidR="00AC289E" w:rsidRPr="00E75810" w:rsidRDefault="00AC289E" w:rsidP="00AC289E">
            <w:pPr>
              <w:tabs>
                <w:tab w:val="left" w:pos="7513"/>
              </w:tabs>
              <w:spacing w:line="276" w:lineRule="auto"/>
              <w:jc w:val="both"/>
              <w:rPr>
                <w:rFonts w:ascii="Arial" w:hAnsi="Arial" w:cs="Arial"/>
                <w:lang w:val="es-CO"/>
              </w:rPr>
            </w:pPr>
            <w:r w:rsidRPr="00E75810">
              <w:rPr>
                <w:rFonts w:ascii="Arial" w:hAnsi="Arial" w:cs="Arial"/>
                <w:lang w:val="es-CO"/>
              </w:rPr>
              <w:t xml:space="preserve">En consecuencia, estas inscripciones deben enmendarse mediante los mecanismos previstos por el legislador para la corrección de anotaciones erróneas, aplicando lo dispuesto en el </w:t>
            </w:r>
            <w:r w:rsidRPr="00E75810">
              <w:rPr>
                <w:rFonts w:ascii="Arial" w:hAnsi="Arial" w:cs="Arial"/>
                <w:b/>
                <w:bCs/>
                <w:lang w:val="es-CO"/>
              </w:rPr>
              <w:t>inciso cuarto del artículo 59</w:t>
            </w:r>
            <w:r w:rsidRPr="00E75810">
              <w:rPr>
                <w:rFonts w:ascii="Arial" w:hAnsi="Arial" w:cs="Arial"/>
                <w:lang w:val="es-CO"/>
              </w:rPr>
              <w:t xml:space="preserve"> y en el </w:t>
            </w:r>
            <w:r w:rsidRPr="00E75810">
              <w:rPr>
                <w:rFonts w:ascii="Arial" w:hAnsi="Arial" w:cs="Arial"/>
                <w:b/>
                <w:bCs/>
                <w:lang w:val="es-CO"/>
              </w:rPr>
              <w:t>inciso final del artículo 60 del ERIP</w:t>
            </w:r>
            <w:r w:rsidRPr="00E75810">
              <w:rPr>
                <w:rFonts w:ascii="Arial" w:hAnsi="Arial" w:cs="Arial"/>
                <w:lang w:val="es-CO"/>
              </w:rPr>
              <w:t xml:space="preserve">, toda vez que la obtención de tales inscripciones </w:t>
            </w:r>
            <w:r w:rsidRPr="00E75810">
              <w:rPr>
                <w:rFonts w:ascii="Arial" w:hAnsi="Arial" w:cs="Arial"/>
                <w:b/>
                <w:bCs/>
                <w:lang w:val="es-CO"/>
              </w:rPr>
              <w:t>obedece a conductas reprochables de terceros</w:t>
            </w:r>
            <w:r w:rsidRPr="00E75810">
              <w:rPr>
                <w:rFonts w:ascii="Arial" w:hAnsi="Arial" w:cs="Arial"/>
                <w:lang w:val="es-CO"/>
              </w:rPr>
              <w:t xml:space="preserve">, contrarias al principio registral de </w:t>
            </w:r>
            <w:r w:rsidRPr="00E75810">
              <w:rPr>
                <w:rFonts w:ascii="Arial" w:hAnsi="Arial" w:cs="Arial"/>
                <w:b/>
                <w:bCs/>
                <w:lang w:val="es-CO"/>
              </w:rPr>
              <w:t>legalidad</w:t>
            </w:r>
            <w:r w:rsidRPr="00E75810">
              <w:rPr>
                <w:rFonts w:ascii="Arial" w:hAnsi="Arial" w:cs="Arial"/>
                <w:lang w:val="es-CO"/>
              </w:rPr>
              <w:t xml:space="preserve">, pilar del sistema de registro de la </w:t>
            </w:r>
            <w:r w:rsidRPr="00E75810">
              <w:rPr>
                <w:rFonts w:ascii="Arial" w:hAnsi="Arial" w:cs="Arial"/>
                <w:lang w:val="es-CO"/>
              </w:rPr>
              <w:lastRenderedPageBreak/>
              <w:t xml:space="preserve">propiedad inmueble. Dichas conductas también vulneran el principio de </w:t>
            </w:r>
            <w:r w:rsidRPr="00E75810">
              <w:rPr>
                <w:rFonts w:ascii="Arial" w:hAnsi="Arial" w:cs="Arial"/>
                <w:b/>
                <w:bCs/>
                <w:lang w:val="es-CO"/>
              </w:rPr>
              <w:t>confianza legítima</w:t>
            </w:r>
            <w:r w:rsidRPr="00E75810">
              <w:rPr>
                <w:rFonts w:ascii="Arial" w:hAnsi="Arial" w:cs="Arial"/>
                <w:lang w:val="es-CO"/>
              </w:rPr>
              <w:t xml:space="preserve"> y, en última instancia, afectan la </w:t>
            </w:r>
            <w:r w:rsidRPr="00E75810">
              <w:rPr>
                <w:rFonts w:ascii="Arial" w:hAnsi="Arial" w:cs="Arial"/>
                <w:b/>
                <w:bCs/>
                <w:lang w:val="es-CO"/>
              </w:rPr>
              <w:t>guarda de la fe pública</w:t>
            </w:r>
            <w:r w:rsidRPr="00E75810">
              <w:rPr>
                <w:rFonts w:ascii="Arial" w:hAnsi="Arial" w:cs="Arial"/>
                <w:lang w:val="es-CO"/>
              </w:rPr>
              <w:t>.</w:t>
            </w:r>
          </w:p>
          <w:p w14:paraId="063D31D9" w14:textId="77777777" w:rsidR="00AC289E" w:rsidRPr="00E75810" w:rsidRDefault="00AC289E" w:rsidP="00AC289E">
            <w:pPr>
              <w:tabs>
                <w:tab w:val="left" w:pos="7513"/>
              </w:tabs>
              <w:spacing w:line="276" w:lineRule="auto"/>
              <w:jc w:val="both"/>
              <w:rPr>
                <w:rFonts w:ascii="Arial" w:hAnsi="Arial" w:cs="Arial"/>
                <w:lang w:val="es-CO"/>
              </w:rPr>
            </w:pPr>
            <w:r w:rsidRPr="00E75810">
              <w:rPr>
                <w:rFonts w:ascii="Arial" w:hAnsi="Arial" w:cs="Arial"/>
                <w:lang w:val="es-CO"/>
              </w:rPr>
              <w:t xml:space="preserve">Adicionalmente, el </w:t>
            </w:r>
            <w:r w:rsidRPr="00E75810">
              <w:rPr>
                <w:rFonts w:ascii="Arial" w:hAnsi="Arial" w:cs="Arial"/>
                <w:b/>
                <w:bCs/>
                <w:lang w:val="es-CO"/>
              </w:rPr>
              <w:t>artículo 100 del Decreto 960 de 1970</w:t>
            </w:r>
            <w:r w:rsidRPr="00E75810">
              <w:rPr>
                <w:rFonts w:ascii="Arial" w:hAnsi="Arial" w:cs="Arial"/>
                <w:lang w:val="es-CO"/>
              </w:rPr>
              <w:t xml:space="preserve"> establece que una escritura firmada por los otorgantes, pero </w:t>
            </w:r>
            <w:r w:rsidRPr="00E75810">
              <w:rPr>
                <w:rFonts w:ascii="Arial" w:hAnsi="Arial" w:cs="Arial"/>
                <w:b/>
                <w:bCs/>
                <w:lang w:val="es-CO"/>
              </w:rPr>
              <w:t>no autorizada por el Notario</w:t>
            </w:r>
            <w:r w:rsidRPr="00E75810">
              <w:rPr>
                <w:rFonts w:ascii="Arial" w:hAnsi="Arial" w:cs="Arial"/>
                <w:lang w:val="es-CO"/>
              </w:rPr>
              <w:t xml:space="preserve"> es jurídicamente </w:t>
            </w:r>
            <w:r w:rsidRPr="00E75810">
              <w:rPr>
                <w:rFonts w:ascii="Arial" w:hAnsi="Arial" w:cs="Arial"/>
                <w:b/>
                <w:bCs/>
                <w:lang w:val="es-CO"/>
              </w:rPr>
              <w:t>inexistente</w:t>
            </w:r>
            <w:r w:rsidRPr="00E75810">
              <w:rPr>
                <w:rFonts w:ascii="Arial" w:hAnsi="Arial" w:cs="Arial"/>
                <w:lang w:val="es-CO"/>
              </w:rPr>
              <w:t xml:space="preserve">. Este documento no constituye una escritura pública en sentido estricto. En algunos casos, la omisión de la autorización notarial puede ser subsanada mediante orden impartida al Notario por la </w:t>
            </w:r>
            <w:r w:rsidRPr="00E75810">
              <w:rPr>
                <w:rFonts w:ascii="Arial" w:hAnsi="Arial" w:cs="Arial"/>
                <w:b/>
                <w:bCs/>
                <w:lang w:val="es-CO"/>
              </w:rPr>
              <w:t>Superintendencia de Notariado y Registro</w:t>
            </w:r>
            <w:r w:rsidRPr="00E75810">
              <w:rPr>
                <w:rFonts w:ascii="Arial" w:hAnsi="Arial" w:cs="Arial"/>
                <w:lang w:val="es-CO"/>
              </w:rPr>
              <w:t>, siempre que la falta de firma no responda a una causal legal que impida su autorización.</w:t>
            </w:r>
          </w:p>
          <w:p w14:paraId="74ADFF3C" w14:textId="77777777" w:rsidR="00AC289E" w:rsidRDefault="00AC289E" w:rsidP="00AC289E">
            <w:pPr>
              <w:tabs>
                <w:tab w:val="left" w:pos="7513"/>
              </w:tabs>
              <w:spacing w:line="276" w:lineRule="auto"/>
              <w:jc w:val="both"/>
              <w:rPr>
                <w:rFonts w:ascii="Arial" w:hAnsi="Arial" w:cs="Arial"/>
                <w:lang w:val="es-CO"/>
              </w:rPr>
            </w:pPr>
          </w:p>
          <w:p w14:paraId="5225A3D8"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Por otra parte, el </w:t>
            </w:r>
            <w:r w:rsidRPr="00C26343">
              <w:rPr>
                <w:rFonts w:ascii="Arial" w:hAnsi="Arial" w:cs="Arial"/>
                <w:b/>
                <w:bCs/>
                <w:lang w:val="es-CO"/>
              </w:rPr>
              <w:t>artículo 47 del Decreto 2148 de 1983</w:t>
            </w:r>
            <w:r w:rsidRPr="00C26343">
              <w:rPr>
                <w:rFonts w:ascii="Arial" w:hAnsi="Arial" w:cs="Arial"/>
                <w:lang w:val="es-CO"/>
              </w:rPr>
              <w:t xml:space="preserve"> complementa lo anterior al disponer que la autorización de una escritura —cuando sea procedente su convalidación— deberá realizarse mediante </w:t>
            </w:r>
            <w:r w:rsidRPr="00C26343">
              <w:rPr>
                <w:rFonts w:ascii="Arial" w:hAnsi="Arial" w:cs="Arial"/>
                <w:b/>
                <w:bCs/>
                <w:lang w:val="es-CO"/>
              </w:rPr>
              <w:t>acto administrativo expedido por la Superintendencia de Notariado y Registro</w:t>
            </w:r>
            <w:r w:rsidRPr="00C26343">
              <w:rPr>
                <w:rFonts w:ascii="Arial" w:hAnsi="Arial" w:cs="Arial"/>
                <w:lang w:val="es-CO"/>
              </w:rPr>
              <w:t>, precisando así el trámite institucional aplicable para subsanar la falta de autorización notarial.</w:t>
            </w:r>
          </w:p>
          <w:p w14:paraId="090B89D6"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En esta misma línea, la </w:t>
            </w:r>
            <w:r w:rsidRPr="00C26343">
              <w:rPr>
                <w:rFonts w:ascii="Arial" w:hAnsi="Arial" w:cs="Arial"/>
                <w:b/>
                <w:bCs/>
                <w:lang w:val="es-CO"/>
              </w:rPr>
              <w:t>Instrucción Administrativa 13 de 2001 de la SNR</w:t>
            </w:r>
            <w:r w:rsidRPr="00C26343">
              <w:rPr>
                <w:rFonts w:ascii="Arial" w:hAnsi="Arial" w:cs="Arial"/>
                <w:lang w:val="es-CO"/>
              </w:rPr>
              <w:t xml:space="preserve"> impartió directrices interpretativas sobre el alcance de estas disposiciones, aclarando, entre otros aspectos, que las escrituras no autorizadas a las que hace referencia el </w:t>
            </w:r>
            <w:r w:rsidRPr="00C26343">
              <w:rPr>
                <w:rFonts w:ascii="Arial" w:hAnsi="Arial" w:cs="Arial"/>
                <w:b/>
                <w:bCs/>
                <w:lang w:val="es-CO"/>
              </w:rPr>
              <w:t>artículo 11 del Decreto 960 de 1970</w:t>
            </w:r>
            <w:r w:rsidRPr="00C26343">
              <w:rPr>
                <w:rFonts w:ascii="Arial" w:hAnsi="Arial" w:cs="Arial"/>
                <w:lang w:val="es-CO"/>
              </w:rPr>
              <w:t xml:space="preserve"> corresponden a </w:t>
            </w:r>
            <w:r w:rsidRPr="00C26343">
              <w:rPr>
                <w:rFonts w:ascii="Arial" w:hAnsi="Arial" w:cs="Arial"/>
                <w:b/>
                <w:bCs/>
                <w:lang w:val="es-CO"/>
              </w:rPr>
              <w:t>proyectos de escritura que no fueron suscritos por el notario</w:t>
            </w:r>
            <w:r w:rsidRPr="00C26343">
              <w:rPr>
                <w:rFonts w:ascii="Arial" w:hAnsi="Arial" w:cs="Arial"/>
                <w:lang w:val="es-CO"/>
              </w:rPr>
              <w:t xml:space="preserve"> ante quien fueron otorgados. Es decir, documentos que llegaron a ser firmados por los otorgantes, pero que nunca adquirieron la naturaleza de </w:t>
            </w:r>
            <w:r w:rsidRPr="00C26343">
              <w:rPr>
                <w:rFonts w:ascii="Arial" w:hAnsi="Arial" w:cs="Arial"/>
                <w:b/>
                <w:bCs/>
                <w:lang w:val="es-CO"/>
              </w:rPr>
              <w:t>escritura pública</w:t>
            </w:r>
            <w:r w:rsidRPr="00C26343">
              <w:rPr>
                <w:rFonts w:ascii="Arial" w:hAnsi="Arial" w:cs="Arial"/>
                <w:lang w:val="es-CO"/>
              </w:rPr>
              <w:t xml:space="preserve"> por falta de la autorización notarial —elemento esencial de existencia y validez—.</w:t>
            </w:r>
          </w:p>
          <w:p w14:paraId="1AB38D98" w14:textId="77777777" w:rsidR="00AC289E" w:rsidRDefault="00AC289E" w:rsidP="00AC289E">
            <w:pPr>
              <w:tabs>
                <w:tab w:val="left" w:pos="7513"/>
              </w:tabs>
              <w:spacing w:line="276" w:lineRule="auto"/>
              <w:jc w:val="both"/>
              <w:rPr>
                <w:rFonts w:ascii="Arial" w:hAnsi="Arial" w:cs="Arial"/>
                <w:lang w:val="es-CO"/>
              </w:rPr>
            </w:pPr>
          </w:p>
          <w:p w14:paraId="754BB231"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Ahora bien, las disposiciones antes mencionadas </w:t>
            </w:r>
            <w:r w:rsidRPr="00C26343">
              <w:rPr>
                <w:rFonts w:ascii="Arial" w:hAnsi="Arial" w:cs="Arial"/>
                <w:b/>
                <w:bCs/>
                <w:lang w:val="es-CO"/>
              </w:rPr>
              <w:t>no equipararon la inexistencia del título con su posible falsedad</w:t>
            </w:r>
            <w:r w:rsidRPr="00C26343">
              <w:rPr>
                <w:rFonts w:ascii="Arial" w:hAnsi="Arial" w:cs="Arial"/>
                <w:lang w:val="es-CO"/>
              </w:rPr>
              <w:t>, ni consideraron que la falsedad material de una escritura pudiera constituir una causal de existencia del acto. La inexistencia y la falsedad son conceptos jurídicos distintos, con consecuencias también diferenciadas en sede registral.</w:t>
            </w:r>
          </w:p>
          <w:p w14:paraId="740007EB"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En este contexto, la </w:t>
            </w:r>
            <w:r w:rsidRPr="00C26343">
              <w:rPr>
                <w:rFonts w:ascii="Arial" w:hAnsi="Arial" w:cs="Arial"/>
                <w:b/>
                <w:bCs/>
                <w:lang w:val="es-CO"/>
              </w:rPr>
              <w:t>Instrucción Administrativa 11 de 2015 de la SNR</w:t>
            </w:r>
            <w:r w:rsidRPr="00C26343">
              <w:rPr>
                <w:rFonts w:ascii="Arial" w:hAnsi="Arial" w:cs="Arial"/>
                <w:lang w:val="es-CO"/>
              </w:rPr>
              <w:t xml:space="preserve"> introdujo una categoría específica de </w:t>
            </w:r>
            <w:r w:rsidRPr="00C26343">
              <w:rPr>
                <w:rFonts w:ascii="Arial" w:hAnsi="Arial" w:cs="Arial"/>
                <w:b/>
                <w:bCs/>
                <w:lang w:val="es-CO"/>
              </w:rPr>
              <w:t>inexistencia del documento inscrito</w:t>
            </w:r>
            <w:r w:rsidRPr="00C26343">
              <w:rPr>
                <w:rFonts w:ascii="Arial" w:hAnsi="Arial" w:cs="Arial"/>
                <w:lang w:val="es-CO"/>
              </w:rPr>
              <w:t xml:space="preserve">, aplicable cuando el título </w:t>
            </w:r>
            <w:r w:rsidRPr="00C26343">
              <w:rPr>
                <w:rFonts w:ascii="Arial" w:hAnsi="Arial" w:cs="Arial"/>
                <w:b/>
                <w:bCs/>
                <w:lang w:val="es-CO"/>
              </w:rPr>
              <w:t>no fue realmente emitido por la autoridad que aparece como otorgante</w:t>
            </w:r>
            <w:r w:rsidRPr="00C26343">
              <w:rPr>
                <w:rFonts w:ascii="Arial" w:hAnsi="Arial" w:cs="Arial"/>
                <w:lang w:val="es-CO"/>
              </w:rPr>
              <w:t xml:space="preserve"> o, tratándose de escrituras públicas, cuando estas </w:t>
            </w:r>
            <w:r w:rsidRPr="00C26343">
              <w:rPr>
                <w:rFonts w:ascii="Arial" w:hAnsi="Arial" w:cs="Arial"/>
                <w:b/>
                <w:bCs/>
                <w:lang w:val="es-CO"/>
              </w:rPr>
              <w:t>no fueron autorizadas por el despacho notarial</w:t>
            </w:r>
            <w:r w:rsidRPr="00C26343">
              <w:rPr>
                <w:rFonts w:ascii="Arial" w:hAnsi="Arial" w:cs="Arial"/>
                <w:lang w:val="es-CO"/>
              </w:rPr>
              <w:t xml:space="preserve"> que figura en el documento. Para que proceda esta forma de inexistencia, es indispensable allegar:</w:t>
            </w:r>
          </w:p>
          <w:p w14:paraId="403CC7F8" w14:textId="77777777" w:rsidR="00AC289E" w:rsidRPr="00C26343" w:rsidRDefault="00AC289E" w:rsidP="00AC289E">
            <w:pPr>
              <w:numPr>
                <w:ilvl w:val="0"/>
                <w:numId w:val="46"/>
              </w:numPr>
              <w:tabs>
                <w:tab w:val="left" w:pos="7513"/>
              </w:tabs>
              <w:spacing w:line="276" w:lineRule="auto"/>
              <w:jc w:val="both"/>
              <w:rPr>
                <w:rFonts w:ascii="Arial" w:hAnsi="Arial" w:cs="Arial"/>
                <w:lang w:val="es-CO"/>
              </w:rPr>
            </w:pPr>
            <w:r w:rsidRPr="00C26343">
              <w:rPr>
                <w:rFonts w:ascii="Arial" w:hAnsi="Arial" w:cs="Arial"/>
                <w:b/>
                <w:bCs/>
                <w:lang w:val="es-CO"/>
              </w:rPr>
              <w:t>Una certificación de inexistencia del título o documento</w:t>
            </w:r>
            <w:r w:rsidRPr="00C26343">
              <w:rPr>
                <w:rFonts w:ascii="Arial" w:hAnsi="Arial" w:cs="Arial"/>
                <w:lang w:val="es-CO"/>
              </w:rPr>
              <w:t xml:space="preserve">, expedida por la autoridad que presuntamente lo autorizó —ya sea notario, juez o entidad </w:t>
            </w:r>
            <w:r w:rsidRPr="00C26343">
              <w:rPr>
                <w:rFonts w:ascii="Arial" w:hAnsi="Arial" w:cs="Arial"/>
                <w:lang w:val="es-CO"/>
              </w:rPr>
              <w:lastRenderedPageBreak/>
              <w:t xml:space="preserve">administrativa—, en la cual se acredite que dicho instrumento </w:t>
            </w:r>
            <w:r w:rsidRPr="00C26343">
              <w:rPr>
                <w:rFonts w:ascii="Arial" w:hAnsi="Arial" w:cs="Arial"/>
                <w:b/>
                <w:bCs/>
                <w:lang w:val="es-CO"/>
              </w:rPr>
              <w:t>no fue suscrito, emitido ni autorizado</w:t>
            </w:r>
            <w:r w:rsidRPr="00C26343">
              <w:rPr>
                <w:rFonts w:ascii="Arial" w:hAnsi="Arial" w:cs="Arial"/>
                <w:lang w:val="es-CO"/>
              </w:rPr>
              <w:t xml:space="preserve"> en ese despacho; y</w:t>
            </w:r>
          </w:p>
          <w:p w14:paraId="76D049D6" w14:textId="77777777" w:rsidR="00AC289E" w:rsidRPr="00C26343" w:rsidRDefault="00AC289E" w:rsidP="00AC289E">
            <w:pPr>
              <w:numPr>
                <w:ilvl w:val="0"/>
                <w:numId w:val="46"/>
              </w:numPr>
              <w:tabs>
                <w:tab w:val="left" w:pos="7513"/>
              </w:tabs>
              <w:spacing w:line="276" w:lineRule="auto"/>
              <w:jc w:val="both"/>
              <w:rPr>
                <w:rFonts w:ascii="Arial" w:hAnsi="Arial" w:cs="Arial"/>
                <w:lang w:val="es-CO"/>
              </w:rPr>
            </w:pPr>
            <w:r w:rsidRPr="00C26343">
              <w:rPr>
                <w:rFonts w:ascii="Arial" w:hAnsi="Arial" w:cs="Arial"/>
                <w:lang w:val="es-CO"/>
              </w:rPr>
              <w:t xml:space="preserve">La correspondiente </w:t>
            </w:r>
            <w:r w:rsidRPr="00C26343">
              <w:rPr>
                <w:rFonts w:ascii="Arial" w:hAnsi="Arial" w:cs="Arial"/>
                <w:b/>
                <w:bCs/>
                <w:lang w:val="es-CO"/>
              </w:rPr>
              <w:t>denuncia penal</w:t>
            </w:r>
            <w:r w:rsidRPr="00C26343">
              <w:rPr>
                <w:rFonts w:ascii="Arial" w:hAnsi="Arial" w:cs="Arial"/>
                <w:lang w:val="es-CO"/>
              </w:rPr>
              <w:t>, presentada ante la fiscalía general de la Nación, por la presunta falsedad o uso de documento inexistente.</w:t>
            </w:r>
          </w:p>
          <w:p w14:paraId="2FAD814B"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Con base en lo anterior, la instrucción precisa que existe inexistencia cuando en un folio de matrícula inmobiliaria se encuentra inscrito un acto que publicita un documento —escritura, providencia judicial o acto administrativo— </w:t>
            </w:r>
            <w:r w:rsidRPr="00C26343">
              <w:rPr>
                <w:rFonts w:ascii="Arial" w:hAnsi="Arial" w:cs="Arial"/>
                <w:b/>
                <w:bCs/>
                <w:lang w:val="es-CO"/>
              </w:rPr>
              <w:t>que no fue autorizado o emitido por la autoridad competente</w:t>
            </w:r>
            <w:r w:rsidRPr="00C26343">
              <w:rPr>
                <w:rFonts w:ascii="Arial" w:hAnsi="Arial" w:cs="Arial"/>
                <w:lang w:val="es-CO"/>
              </w:rPr>
              <w:t>.</w:t>
            </w:r>
          </w:p>
          <w:p w14:paraId="2E45D91D"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En tales eventos, el </w:t>
            </w:r>
            <w:r w:rsidRPr="00C26343">
              <w:rPr>
                <w:rFonts w:ascii="Arial" w:hAnsi="Arial" w:cs="Arial"/>
                <w:b/>
                <w:bCs/>
                <w:lang w:val="es-CO"/>
              </w:rPr>
              <w:t>titular del derecho real inscrito</w:t>
            </w:r>
            <w:r w:rsidRPr="00C26343">
              <w:rPr>
                <w:rFonts w:ascii="Arial" w:hAnsi="Arial" w:cs="Arial"/>
                <w:lang w:val="es-CO"/>
              </w:rPr>
              <w:t xml:space="preserve">, el </w:t>
            </w:r>
            <w:r w:rsidRPr="00C26343">
              <w:rPr>
                <w:rFonts w:ascii="Arial" w:hAnsi="Arial" w:cs="Arial"/>
                <w:b/>
                <w:bCs/>
                <w:lang w:val="es-CO"/>
              </w:rPr>
              <w:t>notario</w:t>
            </w:r>
            <w:r w:rsidRPr="00C26343">
              <w:rPr>
                <w:rFonts w:ascii="Arial" w:hAnsi="Arial" w:cs="Arial"/>
                <w:lang w:val="es-CO"/>
              </w:rPr>
              <w:t xml:space="preserve">, la </w:t>
            </w:r>
            <w:r w:rsidRPr="00C26343">
              <w:rPr>
                <w:rFonts w:ascii="Arial" w:hAnsi="Arial" w:cs="Arial"/>
                <w:b/>
                <w:bCs/>
                <w:lang w:val="es-CO"/>
              </w:rPr>
              <w:t>autoridad judicial o administrativa</w:t>
            </w:r>
            <w:r w:rsidRPr="00C26343">
              <w:rPr>
                <w:rFonts w:ascii="Arial" w:hAnsi="Arial" w:cs="Arial"/>
                <w:lang w:val="es-CO"/>
              </w:rPr>
              <w:t xml:space="preserve"> o cualquier </w:t>
            </w:r>
            <w:r w:rsidRPr="00C26343">
              <w:rPr>
                <w:rFonts w:ascii="Arial" w:hAnsi="Arial" w:cs="Arial"/>
                <w:b/>
                <w:bCs/>
                <w:lang w:val="es-CO"/>
              </w:rPr>
              <w:t>afectado con la inscripción</w:t>
            </w:r>
            <w:r w:rsidRPr="00C26343">
              <w:rPr>
                <w:rFonts w:ascii="Arial" w:hAnsi="Arial" w:cs="Arial"/>
                <w:lang w:val="es-CO"/>
              </w:rPr>
              <w:t xml:space="preserve"> deberá comunicar por escrito al Registrador de Instrumentos Públicos competente la situación irregular, acompañando </w:t>
            </w:r>
            <w:r w:rsidRPr="00C26343">
              <w:rPr>
                <w:rFonts w:ascii="Arial" w:hAnsi="Arial" w:cs="Arial"/>
                <w:b/>
                <w:bCs/>
                <w:lang w:val="es-CO"/>
              </w:rPr>
              <w:t>copia de la denuncia penal</w:t>
            </w:r>
            <w:r w:rsidRPr="00C26343">
              <w:rPr>
                <w:rFonts w:ascii="Arial" w:hAnsi="Arial" w:cs="Arial"/>
                <w:lang w:val="es-CO"/>
              </w:rPr>
              <w:t>, y manifestando que:</w:t>
            </w:r>
          </w:p>
          <w:p w14:paraId="48A6F039" w14:textId="77777777" w:rsidR="00AC289E" w:rsidRPr="00C26343" w:rsidRDefault="00AC289E" w:rsidP="00AC289E">
            <w:pPr>
              <w:numPr>
                <w:ilvl w:val="0"/>
                <w:numId w:val="47"/>
              </w:numPr>
              <w:tabs>
                <w:tab w:val="left" w:pos="7513"/>
              </w:tabs>
              <w:spacing w:line="276" w:lineRule="auto"/>
              <w:jc w:val="both"/>
              <w:rPr>
                <w:rFonts w:ascii="Arial" w:hAnsi="Arial" w:cs="Arial"/>
                <w:lang w:val="es-CO"/>
              </w:rPr>
            </w:pPr>
            <w:r w:rsidRPr="00C26343">
              <w:rPr>
                <w:rFonts w:ascii="Arial" w:hAnsi="Arial" w:cs="Arial"/>
                <w:lang w:val="es-CO"/>
              </w:rPr>
              <w:t>No participó en el acto de enajenación, constitución de gravamen, cancelación o modificación que aparece registrado;</w:t>
            </w:r>
          </w:p>
          <w:p w14:paraId="475A8782" w14:textId="77777777" w:rsidR="00AC289E" w:rsidRPr="00C26343" w:rsidRDefault="00AC289E" w:rsidP="00AC289E">
            <w:pPr>
              <w:numPr>
                <w:ilvl w:val="0"/>
                <w:numId w:val="47"/>
              </w:numPr>
              <w:tabs>
                <w:tab w:val="left" w:pos="7513"/>
              </w:tabs>
              <w:spacing w:line="276" w:lineRule="auto"/>
              <w:jc w:val="both"/>
              <w:rPr>
                <w:rFonts w:ascii="Arial" w:hAnsi="Arial" w:cs="Arial"/>
                <w:lang w:val="es-CO"/>
              </w:rPr>
            </w:pPr>
            <w:r w:rsidRPr="00C26343">
              <w:rPr>
                <w:rFonts w:ascii="Arial" w:hAnsi="Arial" w:cs="Arial"/>
                <w:lang w:val="es-CO"/>
              </w:rPr>
              <w:t xml:space="preserve">El notario </w:t>
            </w:r>
            <w:r w:rsidRPr="00C26343">
              <w:rPr>
                <w:rFonts w:ascii="Arial" w:hAnsi="Arial" w:cs="Arial"/>
                <w:b/>
                <w:bCs/>
                <w:lang w:val="es-CO"/>
              </w:rPr>
              <w:t>no autorizó</w:t>
            </w:r>
            <w:r w:rsidRPr="00C26343">
              <w:rPr>
                <w:rFonts w:ascii="Arial" w:hAnsi="Arial" w:cs="Arial"/>
                <w:lang w:val="es-CO"/>
              </w:rPr>
              <w:t xml:space="preserve"> la escritura correspondiente; y/o</w:t>
            </w:r>
          </w:p>
          <w:p w14:paraId="770D6708" w14:textId="77777777" w:rsidR="00AC289E" w:rsidRPr="00C26343" w:rsidRDefault="00AC289E" w:rsidP="00AC289E">
            <w:pPr>
              <w:numPr>
                <w:ilvl w:val="0"/>
                <w:numId w:val="47"/>
              </w:numPr>
              <w:tabs>
                <w:tab w:val="left" w:pos="7513"/>
              </w:tabs>
              <w:spacing w:line="276" w:lineRule="auto"/>
              <w:jc w:val="both"/>
              <w:rPr>
                <w:rFonts w:ascii="Arial" w:hAnsi="Arial" w:cs="Arial"/>
                <w:lang w:val="es-CO"/>
              </w:rPr>
            </w:pPr>
            <w:r w:rsidRPr="00C26343">
              <w:rPr>
                <w:rFonts w:ascii="Arial" w:hAnsi="Arial" w:cs="Arial"/>
                <w:lang w:val="es-CO"/>
              </w:rPr>
              <w:t xml:space="preserve">La autoridad judicial o administrativa </w:t>
            </w:r>
            <w:r w:rsidRPr="00C26343">
              <w:rPr>
                <w:rFonts w:ascii="Arial" w:hAnsi="Arial" w:cs="Arial"/>
                <w:b/>
                <w:bCs/>
                <w:lang w:val="es-CO"/>
              </w:rPr>
              <w:t>no emitió</w:t>
            </w:r>
            <w:r w:rsidRPr="00C26343">
              <w:rPr>
                <w:rFonts w:ascii="Arial" w:hAnsi="Arial" w:cs="Arial"/>
                <w:lang w:val="es-CO"/>
              </w:rPr>
              <w:t xml:space="preserve"> la providencia o acto que figura como fundamento de la inscripción.</w:t>
            </w:r>
          </w:p>
          <w:p w14:paraId="583691D2"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Esta actuación activa un procedimiento administrativo orientado a la corrección de la anotación, así como a la </w:t>
            </w:r>
            <w:r w:rsidRPr="00C26343">
              <w:rPr>
                <w:rFonts w:ascii="Arial" w:hAnsi="Arial" w:cs="Arial"/>
                <w:b/>
                <w:bCs/>
                <w:lang w:val="es-CO"/>
              </w:rPr>
              <w:t>restauración de la legalidad registral y de la fe pública</w:t>
            </w:r>
            <w:r w:rsidRPr="00C26343">
              <w:rPr>
                <w:rFonts w:ascii="Arial" w:hAnsi="Arial" w:cs="Arial"/>
                <w:lang w:val="es-CO"/>
              </w:rPr>
              <w:t>, en concordancia con los principios de seguridad jurídica, legalidad y confianza legítima.</w:t>
            </w:r>
          </w:p>
          <w:p w14:paraId="4084FF21" w14:textId="77777777" w:rsidR="00AC289E" w:rsidRDefault="00AC289E" w:rsidP="00AC289E">
            <w:pPr>
              <w:tabs>
                <w:tab w:val="left" w:pos="7513"/>
              </w:tabs>
              <w:spacing w:line="276" w:lineRule="auto"/>
              <w:jc w:val="both"/>
              <w:rPr>
                <w:rFonts w:ascii="Arial" w:hAnsi="Arial" w:cs="Arial"/>
                <w:lang w:val="es-CO"/>
              </w:rPr>
            </w:pPr>
          </w:p>
          <w:p w14:paraId="493C66A9"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Así pues, acreditar este tipo de inexistencia ante la SNR —mediante la manifestación expresa del afectado, del notario o de la autoridad judicial o administrativa, acompañada tanto de la denuncia penal como de la certificación de inexistencia firmada por la autoridad presuntamente emisora— genera </w:t>
            </w:r>
            <w:r w:rsidRPr="00C26343">
              <w:rPr>
                <w:rFonts w:ascii="Arial" w:hAnsi="Arial" w:cs="Arial"/>
                <w:b/>
                <w:bCs/>
                <w:lang w:val="es-CO"/>
              </w:rPr>
              <w:t>consecuencias registrales de gran relevancia</w:t>
            </w:r>
            <w:r w:rsidRPr="00C26343">
              <w:rPr>
                <w:rFonts w:ascii="Arial" w:hAnsi="Arial" w:cs="Arial"/>
                <w:lang w:val="es-CO"/>
              </w:rPr>
              <w:t xml:space="preserve">. En efecto, al aportarse estos documentos ante el Registrador de Instrumentos Públicos competente, dentro de una actuación administrativa, se configura una evidencia suficiente que </w:t>
            </w:r>
            <w:r w:rsidRPr="00C26343">
              <w:rPr>
                <w:rFonts w:ascii="Arial" w:hAnsi="Arial" w:cs="Arial"/>
                <w:b/>
                <w:bCs/>
                <w:lang w:val="es-CO"/>
              </w:rPr>
              <w:t>no requiere intervención judicial</w:t>
            </w:r>
            <w:r w:rsidRPr="00C26343">
              <w:rPr>
                <w:rFonts w:ascii="Arial" w:hAnsi="Arial" w:cs="Arial"/>
                <w:lang w:val="es-CO"/>
              </w:rPr>
              <w:t>, habilitando al Registrador para aplicar de inmediato las correcciones previstas en la citada Instrucción Administrativa 11 de 2015.</w:t>
            </w:r>
          </w:p>
          <w:p w14:paraId="2D3B3AC9"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En virtud de ello, el Registrador puede:</w:t>
            </w:r>
          </w:p>
          <w:p w14:paraId="544AFF3E" w14:textId="77777777" w:rsidR="00AC289E" w:rsidRPr="00C26343" w:rsidRDefault="00AC289E" w:rsidP="00AC289E">
            <w:pPr>
              <w:numPr>
                <w:ilvl w:val="0"/>
                <w:numId w:val="48"/>
              </w:numPr>
              <w:tabs>
                <w:tab w:val="left" w:pos="7513"/>
              </w:tabs>
              <w:spacing w:line="276" w:lineRule="auto"/>
              <w:jc w:val="both"/>
              <w:rPr>
                <w:rFonts w:ascii="Arial" w:hAnsi="Arial" w:cs="Arial"/>
                <w:lang w:val="es-CO"/>
              </w:rPr>
            </w:pPr>
            <w:r w:rsidRPr="00C26343">
              <w:rPr>
                <w:rFonts w:ascii="Arial" w:hAnsi="Arial" w:cs="Arial"/>
                <w:b/>
                <w:bCs/>
                <w:lang w:val="es-CO"/>
              </w:rPr>
              <w:t>Excluir del folio</w:t>
            </w:r>
            <w:r w:rsidRPr="00C26343">
              <w:rPr>
                <w:rFonts w:ascii="Arial" w:hAnsi="Arial" w:cs="Arial"/>
                <w:lang w:val="es-CO"/>
              </w:rPr>
              <w:t xml:space="preserve"> la inscripción realizada con fundamento en el documento o título inexistente, sin necesidad de autorización previa de los intervinientes; y</w:t>
            </w:r>
          </w:p>
          <w:p w14:paraId="5C2EDFA3" w14:textId="77777777" w:rsidR="00AC289E" w:rsidRPr="00C26343" w:rsidRDefault="00AC289E" w:rsidP="00AC289E">
            <w:pPr>
              <w:numPr>
                <w:ilvl w:val="0"/>
                <w:numId w:val="48"/>
              </w:numPr>
              <w:tabs>
                <w:tab w:val="left" w:pos="7513"/>
              </w:tabs>
              <w:spacing w:line="276" w:lineRule="auto"/>
              <w:jc w:val="both"/>
              <w:rPr>
                <w:rFonts w:ascii="Arial" w:hAnsi="Arial" w:cs="Arial"/>
                <w:lang w:val="es-CO"/>
              </w:rPr>
            </w:pPr>
            <w:r w:rsidRPr="00C26343">
              <w:rPr>
                <w:rFonts w:ascii="Arial" w:hAnsi="Arial" w:cs="Arial"/>
                <w:b/>
                <w:bCs/>
                <w:lang w:val="es-CO"/>
              </w:rPr>
              <w:t>Reclasificar como falsa tradición</w:t>
            </w:r>
            <w:r w:rsidRPr="00C26343">
              <w:rPr>
                <w:rFonts w:ascii="Arial" w:hAnsi="Arial" w:cs="Arial"/>
                <w:lang w:val="es-CO"/>
              </w:rPr>
              <w:t xml:space="preserve"> las inscripciones posteriores que deriven de la supuesta transferencia o transmisión del derecho de dominio contenida en el </w:t>
            </w:r>
            <w:r w:rsidRPr="00C26343">
              <w:rPr>
                <w:rFonts w:ascii="Arial" w:hAnsi="Arial" w:cs="Arial"/>
                <w:lang w:val="es-CO"/>
              </w:rPr>
              <w:lastRenderedPageBreak/>
              <w:t>documento inexistente, lo cual incluye gravámenes, limitaciones al dominio o nuevos actos traslaticios.</w:t>
            </w:r>
          </w:p>
          <w:p w14:paraId="0D46628F" w14:textId="77777777" w:rsidR="00AC289E" w:rsidRPr="00C26343" w:rsidRDefault="00AC289E" w:rsidP="00AC289E">
            <w:pPr>
              <w:tabs>
                <w:tab w:val="left" w:pos="7513"/>
              </w:tabs>
              <w:spacing w:line="276" w:lineRule="auto"/>
              <w:jc w:val="both"/>
              <w:rPr>
                <w:rFonts w:ascii="Arial" w:hAnsi="Arial" w:cs="Arial"/>
                <w:lang w:val="es-CO"/>
              </w:rPr>
            </w:pPr>
          </w:p>
          <w:p w14:paraId="603FC277" w14:textId="77777777" w:rsidR="00AC289E" w:rsidRPr="00C26343" w:rsidRDefault="00AC289E" w:rsidP="00AC289E">
            <w:pPr>
              <w:tabs>
                <w:tab w:val="left" w:pos="7513"/>
              </w:tabs>
              <w:spacing w:line="276" w:lineRule="auto"/>
              <w:jc w:val="both"/>
              <w:rPr>
                <w:rFonts w:ascii="Arial" w:hAnsi="Arial" w:cs="Arial"/>
                <w:b/>
                <w:bCs/>
                <w:lang w:val="es-CO"/>
              </w:rPr>
            </w:pPr>
            <w:r w:rsidRPr="00C26343">
              <w:rPr>
                <w:rFonts w:ascii="Arial" w:hAnsi="Arial" w:cs="Arial"/>
                <w:b/>
                <w:bCs/>
                <w:lang w:val="es-CO"/>
              </w:rPr>
              <w:t>Aplicación al caso concreto</w:t>
            </w:r>
          </w:p>
          <w:p w14:paraId="09144A1E"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En el asunto objeto de controversia, </w:t>
            </w:r>
            <w:r>
              <w:rPr>
                <w:rFonts w:ascii="Arial" w:hAnsi="Arial" w:cs="Arial"/>
                <w:lang w:val="es-CO"/>
              </w:rPr>
              <w:t>se observa</w:t>
            </w:r>
            <w:r w:rsidRPr="00C26343">
              <w:rPr>
                <w:rFonts w:ascii="Arial" w:hAnsi="Arial" w:cs="Arial"/>
                <w:lang w:val="es-CO"/>
              </w:rPr>
              <w:t xml:space="preserve"> que dentro del folio </w:t>
            </w:r>
            <w:r>
              <w:rPr>
                <w:rFonts w:ascii="Arial" w:hAnsi="Arial" w:cs="Arial"/>
                <w:b/>
                <w:bCs/>
                <w:lang w:val="es-CO"/>
              </w:rPr>
              <w:t>001-315387</w:t>
            </w:r>
            <w:r w:rsidRPr="00C26343">
              <w:rPr>
                <w:rFonts w:ascii="Arial" w:hAnsi="Arial" w:cs="Arial"/>
                <w:lang w:val="es-CO"/>
              </w:rPr>
              <w:t xml:space="preserve">, y conforme a la certificación expedida por la </w:t>
            </w:r>
            <w:r>
              <w:rPr>
                <w:rFonts w:ascii="Arial" w:hAnsi="Arial" w:cs="Arial"/>
                <w:b/>
                <w:bCs/>
                <w:lang w:val="es-CO"/>
              </w:rPr>
              <w:t>SAE S.A.S.</w:t>
            </w:r>
            <w:r w:rsidRPr="00C26343">
              <w:rPr>
                <w:rFonts w:ascii="Arial" w:hAnsi="Arial" w:cs="Arial"/>
                <w:lang w:val="es-CO"/>
              </w:rPr>
              <w:t xml:space="preserve">, </w:t>
            </w:r>
            <w:r>
              <w:rPr>
                <w:rFonts w:ascii="Arial" w:hAnsi="Arial" w:cs="Arial"/>
                <w:lang w:val="es-CO"/>
              </w:rPr>
              <w:t>La resolución N° 772 del 23 de mayo de 2023 no fue expedida por dicha entidad, así como también se señala que los oficios N° 113F-41 del 27 de julio de 2023 y oficio N° 214F-41 del 04 de agosto de 2023 no fueron expedidos por la Fiscalía General de la Nación.</w:t>
            </w:r>
          </w:p>
          <w:p w14:paraId="6A6C102D"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En consecuencia, es claro que, de acuerdo con lo previsto en la mencionada </w:t>
            </w:r>
            <w:r w:rsidRPr="00C26343">
              <w:rPr>
                <w:rFonts w:ascii="Arial" w:hAnsi="Arial" w:cs="Arial"/>
                <w:b/>
                <w:bCs/>
                <w:lang w:val="es-CO"/>
              </w:rPr>
              <w:t>Instrucción Administrativa 11 de 2015</w:t>
            </w:r>
            <w:r w:rsidRPr="00C26343">
              <w:rPr>
                <w:rFonts w:ascii="Arial" w:hAnsi="Arial" w:cs="Arial"/>
                <w:lang w:val="es-CO"/>
              </w:rPr>
              <w:t xml:space="preserve">, el documento que dio origen a la </w:t>
            </w:r>
            <w:r w:rsidRPr="00C26343">
              <w:rPr>
                <w:rFonts w:ascii="Arial" w:hAnsi="Arial" w:cs="Arial"/>
                <w:b/>
                <w:bCs/>
                <w:lang w:val="es-CO"/>
              </w:rPr>
              <w:t>Inscripción</w:t>
            </w:r>
            <w:r>
              <w:rPr>
                <w:rFonts w:ascii="Arial" w:hAnsi="Arial" w:cs="Arial"/>
                <w:b/>
                <w:bCs/>
                <w:lang w:val="es-CO"/>
              </w:rPr>
              <w:t xml:space="preserve"> de las anotaciones</w:t>
            </w:r>
            <w:r w:rsidRPr="00C26343">
              <w:rPr>
                <w:rFonts w:ascii="Arial" w:hAnsi="Arial" w:cs="Arial"/>
                <w:b/>
                <w:bCs/>
                <w:lang w:val="es-CO"/>
              </w:rPr>
              <w:t xml:space="preserve"> No. </w:t>
            </w:r>
            <w:r>
              <w:rPr>
                <w:rFonts w:ascii="Arial" w:hAnsi="Arial" w:cs="Arial"/>
                <w:b/>
                <w:bCs/>
                <w:lang w:val="es-CO"/>
              </w:rPr>
              <w:t>28, 29 y 30</w:t>
            </w:r>
            <w:r w:rsidRPr="00C26343">
              <w:rPr>
                <w:rFonts w:ascii="Arial" w:hAnsi="Arial" w:cs="Arial"/>
                <w:lang w:val="es-CO"/>
              </w:rPr>
              <w:t xml:space="preserve"> del folio </w:t>
            </w:r>
            <w:r>
              <w:rPr>
                <w:rFonts w:ascii="Arial" w:hAnsi="Arial" w:cs="Arial"/>
                <w:lang w:val="es-CO"/>
              </w:rPr>
              <w:t>001-315587</w:t>
            </w:r>
            <w:r w:rsidRPr="00C26343">
              <w:rPr>
                <w:rFonts w:ascii="Arial" w:hAnsi="Arial" w:cs="Arial"/>
                <w:lang w:val="es-CO"/>
              </w:rPr>
              <w:t xml:space="preserve"> </w:t>
            </w:r>
            <w:r>
              <w:rPr>
                <w:rFonts w:ascii="Arial" w:hAnsi="Arial" w:cs="Arial"/>
                <w:lang w:val="es-CO"/>
              </w:rPr>
              <w:t>son</w:t>
            </w:r>
            <w:r w:rsidRPr="00C26343">
              <w:rPr>
                <w:rFonts w:ascii="Arial" w:hAnsi="Arial" w:cs="Arial"/>
                <w:lang w:val="es-CO"/>
              </w:rPr>
              <w:t xml:space="preserve"> </w:t>
            </w:r>
            <w:r w:rsidRPr="00C26343">
              <w:rPr>
                <w:rFonts w:ascii="Arial" w:hAnsi="Arial" w:cs="Arial"/>
                <w:b/>
                <w:bCs/>
                <w:lang w:val="es-CO"/>
              </w:rPr>
              <w:t>inexistente</w:t>
            </w:r>
            <w:r>
              <w:rPr>
                <w:rFonts w:ascii="Arial" w:hAnsi="Arial" w:cs="Arial"/>
                <w:b/>
                <w:bCs/>
                <w:lang w:val="es-CO"/>
              </w:rPr>
              <w:t>s</w:t>
            </w:r>
            <w:r w:rsidRPr="00C26343">
              <w:rPr>
                <w:rFonts w:ascii="Arial" w:hAnsi="Arial" w:cs="Arial"/>
                <w:lang w:val="es-CO"/>
              </w:rPr>
              <w:t xml:space="preserve">, toda vez que no fue autorizado por </w:t>
            </w:r>
            <w:r>
              <w:rPr>
                <w:rFonts w:ascii="Arial" w:hAnsi="Arial" w:cs="Arial"/>
                <w:lang w:val="es-CO"/>
              </w:rPr>
              <w:t>las referidas entidades</w:t>
            </w:r>
            <w:r w:rsidRPr="00C26343">
              <w:rPr>
                <w:rFonts w:ascii="Arial" w:hAnsi="Arial" w:cs="Arial"/>
                <w:lang w:val="es-CO"/>
              </w:rPr>
              <w:t xml:space="preserve">. </w:t>
            </w:r>
          </w:p>
          <w:p w14:paraId="4EB57FCA"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En consecuencia, la</w:t>
            </w:r>
            <w:r>
              <w:rPr>
                <w:rFonts w:ascii="Arial" w:hAnsi="Arial" w:cs="Arial"/>
                <w:lang w:val="es-CO"/>
              </w:rPr>
              <w:t>s anotaciones N° 28, 29 y 30 del folio de matrícula inmobiliaria</w:t>
            </w:r>
            <w:r w:rsidRPr="00C26343">
              <w:rPr>
                <w:rFonts w:ascii="Arial" w:hAnsi="Arial" w:cs="Arial"/>
                <w:lang w:val="es-CO"/>
              </w:rPr>
              <w:t xml:space="preserve"> carece</w:t>
            </w:r>
            <w:r>
              <w:rPr>
                <w:rFonts w:ascii="Arial" w:hAnsi="Arial" w:cs="Arial"/>
                <w:lang w:val="es-CO"/>
              </w:rPr>
              <w:t>n</w:t>
            </w:r>
            <w:r w:rsidRPr="00C26343">
              <w:rPr>
                <w:rFonts w:ascii="Arial" w:hAnsi="Arial" w:cs="Arial"/>
                <w:lang w:val="es-CO"/>
              </w:rPr>
              <w:t xml:space="preserve"> de soporte jurídico y no puede</w:t>
            </w:r>
            <w:r>
              <w:rPr>
                <w:rFonts w:ascii="Arial" w:hAnsi="Arial" w:cs="Arial"/>
                <w:lang w:val="es-CO"/>
              </w:rPr>
              <w:t>n</w:t>
            </w:r>
            <w:r w:rsidRPr="00C26343">
              <w:rPr>
                <w:rFonts w:ascii="Arial" w:hAnsi="Arial" w:cs="Arial"/>
                <w:lang w:val="es-CO"/>
              </w:rPr>
              <w:t xml:space="preserve"> generar efectos </w:t>
            </w:r>
            <w:r>
              <w:rPr>
                <w:rFonts w:ascii="Arial" w:hAnsi="Arial" w:cs="Arial"/>
                <w:lang w:val="es-CO"/>
              </w:rPr>
              <w:t>jurídicos</w:t>
            </w:r>
            <w:r w:rsidRPr="00C26343">
              <w:rPr>
                <w:rFonts w:ascii="Arial" w:hAnsi="Arial" w:cs="Arial"/>
                <w:lang w:val="es-CO"/>
              </w:rPr>
              <w:t>.</w:t>
            </w:r>
          </w:p>
          <w:p w14:paraId="23F44260" w14:textId="77777777" w:rsidR="00AC289E" w:rsidRPr="00C26343" w:rsidRDefault="00AC289E" w:rsidP="00AC289E">
            <w:pPr>
              <w:tabs>
                <w:tab w:val="left" w:pos="7513"/>
              </w:tabs>
              <w:spacing w:line="276" w:lineRule="auto"/>
              <w:jc w:val="both"/>
              <w:rPr>
                <w:rFonts w:ascii="Arial" w:hAnsi="Arial" w:cs="Arial"/>
                <w:lang w:val="es-CO"/>
              </w:rPr>
            </w:pPr>
          </w:p>
          <w:p w14:paraId="6CA3161E" w14:textId="77777777" w:rsidR="00AC289E" w:rsidRPr="00C26343" w:rsidRDefault="00AC289E" w:rsidP="00AC289E">
            <w:pPr>
              <w:tabs>
                <w:tab w:val="left" w:pos="7513"/>
              </w:tabs>
              <w:spacing w:line="276" w:lineRule="auto"/>
              <w:jc w:val="both"/>
              <w:rPr>
                <w:rFonts w:ascii="Arial" w:hAnsi="Arial" w:cs="Arial"/>
                <w:b/>
                <w:bCs/>
                <w:lang w:val="es-CO"/>
              </w:rPr>
            </w:pPr>
            <w:r w:rsidRPr="00C26343">
              <w:rPr>
                <w:rFonts w:ascii="Arial" w:hAnsi="Arial" w:cs="Arial"/>
                <w:b/>
                <w:bCs/>
                <w:lang w:val="es-CO"/>
              </w:rPr>
              <w:t>Aspectos excluidos por falta de competencia administrativa</w:t>
            </w:r>
          </w:p>
          <w:p w14:paraId="47947469" w14:textId="77777777" w:rsidR="00AC289E" w:rsidRPr="00C26343" w:rsidRDefault="00AC289E" w:rsidP="00AC289E">
            <w:pPr>
              <w:tabs>
                <w:tab w:val="left" w:pos="7513"/>
              </w:tabs>
              <w:spacing w:line="276" w:lineRule="auto"/>
              <w:jc w:val="both"/>
              <w:rPr>
                <w:rFonts w:ascii="Arial" w:hAnsi="Arial" w:cs="Arial"/>
                <w:lang w:val="es-CO"/>
              </w:rPr>
            </w:pPr>
            <w:r w:rsidRPr="00C26343">
              <w:rPr>
                <w:rFonts w:ascii="Arial" w:hAnsi="Arial" w:cs="Arial"/>
                <w:lang w:val="es-CO"/>
              </w:rPr>
              <w:t xml:space="preserve">Finalmente, debe advertirse que los asuntos relacionados con la </w:t>
            </w:r>
            <w:r w:rsidRPr="00C26343">
              <w:rPr>
                <w:rFonts w:ascii="Arial" w:hAnsi="Arial" w:cs="Arial"/>
                <w:b/>
                <w:bCs/>
                <w:lang w:val="es-CO"/>
              </w:rPr>
              <w:t>posible falsedad material</w:t>
            </w:r>
            <w:r w:rsidRPr="00C26343">
              <w:rPr>
                <w:rFonts w:ascii="Arial" w:hAnsi="Arial" w:cs="Arial"/>
                <w:lang w:val="es-CO"/>
              </w:rPr>
              <w:t xml:space="preserve"> de los documentos registrados o con la eventual obtención fraudulenta de inscripciones en el registro público inmobiliario poseen un </w:t>
            </w:r>
            <w:r w:rsidRPr="00C26343">
              <w:rPr>
                <w:rFonts w:ascii="Arial" w:hAnsi="Arial" w:cs="Arial"/>
                <w:b/>
                <w:bCs/>
                <w:lang w:val="es-CO"/>
              </w:rPr>
              <w:t>carácter eminentemente judicial</w:t>
            </w:r>
            <w:r w:rsidRPr="00C26343">
              <w:rPr>
                <w:rFonts w:ascii="Arial" w:hAnsi="Arial" w:cs="Arial"/>
                <w:lang w:val="es-CO"/>
              </w:rPr>
              <w:t xml:space="preserve">. Por tanto, tales cuestiones exceden la órbita de competencia de esta actuación administrativa y son de conocimiento exclusivo del </w:t>
            </w:r>
            <w:r w:rsidRPr="00C26343">
              <w:rPr>
                <w:rFonts w:ascii="Arial" w:hAnsi="Arial" w:cs="Arial"/>
                <w:b/>
                <w:bCs/>
                <w:lang w:val="es-CO"/>
              </w:rPr>
              <w:t>juez penal</w:t>
            </w:r>
            <w:r w:rsidRPr="00C26343">
              <w:rPr>
                <w:rFonts w:ascii="Arial" w:hAnsi="Arial" w:cs="Arial"/>
                <w:lang w:val="es-CO"/>
              </w:rPr>
              <w:t>, autoridad llamada a determinar la existencia de una conducta delictiva y sus correspondientes responsabilidades.</w:t>
            </w:r>
          </w:p>
          <w:p w14:paraId="2542AF32" w14:textId="77777777" w:rsidR="00AC289E" w:rsidRDefault="00AC289E" w:rsidP="00AC289E">
            <w:pPr>
              <w:tabs>
                <w:tab w:val="left" w:pos="7513"/>
              </w:tabs>
              <w:spacing w:line="276" w:lineRule="auto"/>
              <w:jc w:val="both"/>
              <w:rPr>
                <w:rFonts w:ascii="Arial" w:hAnsi="Arial" w:cs="Arial"/>
                <w:lang w:val="es-CO"/>
              </w:rPr>
            </w:pPr>
          </w:p>
          <w:p w14:paraId="0A47DCD8" w14:textId="77777777" w:rsidR="00AC289E" w:rsidRDefault="00AC289E" w:rsidP="00AC289E">
            <w:pPr>
              <w:autoSpaceDE w:val="0"/>
              <w:autoSpaceDN w:val="0"/>
              <w:adjustRightInd w:val="0"/>
              <w:spacing w:line="276" w:lineRule="auto"/>
              <w:jc w:val="both"/>
              <w:rPr>
                <w:rFonts w:ascii="Arial" w:hAnsi="Arial" w:cs="Arial"/>
                <w:lang w:eastAsia="es-CO"/>
              </w:rPr>
            </w:pPr>
            <w:r>
              <w:rPr>
                <w:rFonts w:ascii="Arial" w:hAnsi="Arial" w:cs="Arial"/>
                <w:lang w:eastAsia="es-CO"/>
              </w:rPr>
              <w:t>Por lo anterior para el análisis de esta ficha y para sustentar la defensa de la entidad se hace uso de la directriz de conciliación N° 01 de 2020:</w:t>
            </w:r>
          </w:p>
          <w:p w14:paraId="01F00F7B" w14:textId="77777777" w:rsidR="00AC289E" w:rsidRDefault="00AC289E" w:rsidP="00AC289E">
            <w:pPr>
              <w:autoSpaceDE w:val="0"/>
              <w:autoSpaceDN w:val="0"/>
              <w:adjustRightInd w:val="0"/>
              <w:spacing w:line="276" w:lineRule="auto"/>
              <w:jc w:val="both"/>
              <w:rPr>
                <w:rFonts w:ascii="Arial" w:hAnsi="Arial" w:cs="Arial"/>
                <w:lang w:eastAsia="es-CO"/>
              </w:rPr>
            </w:pPr>
          </w:p>
          <w:p w14:paraId="718EA052" w14:textId="77777777" w:rsidR="00AC289E" w:rsidRDefault="00AC289E" w:rsidP="00AC289E">
            <w:pPr>
              <w:tabs>
                <w:tab w:val="left" w:pos="7513"/>
              </w:tabs>
              <w:spacing w:line="276" w:lineRule="auto"/>
              <w:jc w:val="both"/>
              <w:rPr>
                <w:rFonts w:ascii="Arial" w:hAnsi="Arial" w:cs="Arial"/>
                <w:i/>
              </w:rPr>
            </w:pPr>
            <w:r w:rsidRPr="00BE189F">
              <w:rPr>
                <w:rFonts w:ascii="Arial" w:hAnsi="Arial" w:cs="Arial"/>
                <w:i/>
              </w:rPr>
              <w:t xml:space="preserve">Para el estudio de la presente ficha se hizo uso de la directriz de conciliación en relación con el hecho de un tercero </w:t>
            </w:r>
            <w:r>
              <w:rPr>
                <w:rFonts w:ascii="Arial" w:hAnsi="Arial" w:cs="Arial"/>
                <w:i/>
              </w:rPr>
              <w:t xml:space="preserve">[número 01 de 2020] </w:t>
            </w:r>
            <w:r w:rsidRPr="00BE189F">
              <w:rPr>
                <w:rFonts w:ascii="Arial" w:hAnsi="Arial" w:cs="Arial"/>
                <w:i/>
              </w:rPr>
              <w:t>como factor determinante en la producción del daño:</w:t>
            </w:r>
          </w:p>
          <w:p w14:paraId="07A9644E" w14:textId="77777777" w:rsidR="00AC289E" w:rsidRDefault="00AC289E" w:rsidP="00AC289E">
            <w:pPr>
              <w:tabs>
                <w:tab w:val="left" w:pos="7513"/>
              </w:tabs>
              <w:spacing w:line="276" w:lineRule="auto"/>
              <w:jc w:val="both"/>
              <w:rPr>
                <w:rFonts w:ascii="Arial" w:hAnsi="Arial" w:cs="Arial"/>
                <w:i/>
              </w:rPr>
            </w:pPr>
          </w:p>
          <w:p w14:paraId="0879A7C8" w14:textId="77777777" w:rsidR="00AC289E" w:rsidRDefault="00AC289E" w:rsidP="00AC289E">
            <w:pPr>
              <w:tabs>
                <w:tab w:val="left" w:pos="7513"/>
              </w:tabs>
              <w:spacing w:line="276" w:lineRule="auto"/>
              <w:jc w:val="both"/>
              <w:rPr>
                <w:rFonts w:ascii="Arial" w:hAnsi="Arial" w:cs="Arial"/>
                <w:bCs/>
                <w:i/>
              </w:rPr>
            </w:pPr>
            <w:r>
              <w:rPr>
                <w:rFonts w:ascii="Arial" w:hAnsi="Arial" w:cs="Arial"/>
                <w:i/>
              </w:rPr>
              <w:t>“[</w:t>
            </w:r>
            <w:r w:rsidRPr="009824DB">
              <w:rPr>
                <w:rFonts w:ascii="Arial" w:hAnsi="Arial" w:cs="Arial"/>
                <w:i/>
              </w:rPr>
              <w:t xml:space="preserve">La SNR NO es responsable de las presuntas fallas en el servicio registral cuando la </w:t>
            </w:r>
            <w:proofErr w:type="spellStart"/>
            <w:r w:rsidRPr="009824DB">
              <w:rPr>
                <w:rFonts w:ascii="Arial" w:hAnsi="Arial" w:cs="Arial"/>
                <w:i/>
              </w:rPr>
              <w:t>causación</w:t>
            </w:r>
            <w:proofErr w:type="spellEnd"/>
            <w:r w:rsidRPr="009824DB">
              <w:rPr>
                <w:rFonts w:ascii="Arial" w:hAnsi="Arial" w:cs="Arial"/>
                <w:i/>
              </w:rPr>
              <w:t xml:space="preserve"> del daño proviene de terceros que, por ejemplo, de manera fraudulenta, presentan documentos apócrifos a las Oficinas de Registro de Instrumentos Públicos -</w:t>
            </w:r>
            <w:r w:rsidRPr="009824DB">
              <w:rPr>
                <w:rFonts w:ascii="Arial" w:hAnsi="Arial" w:cs="Arial"/>
                <w:i/>
              </w:rPr>
              <w:lastRenderedPageBreak/>
              <w:t>ORIP- del país. Las funciones que ostentan estas oficinas dan cumplimiento al Estatuto Registral, es decir, su labor consiste en verificar las formalidades que deben presentarse frente a los actos de registro. Por lo tanto, se respeta el principio de la buena fe frente a los documentos sometidos a Registro. En palabras del Consejo de Estado, no es función de las ORIP realizar cotejos técnicos, comprobación grafológica o dactiloscópica</w:t>
            </w:r>
            <w:r w:rsidRPr="009824DB">
              <w:rPr>
                <w:rFonts w:ascii="Arial" w:hAnsi="Arial" w:cs="Arial"/>
                <w:bCs/>
                <w:i/>
              </w:rPr>
              <w:t>]”.</w:t>
            </w:r>
          </w:p>
          <w:p w14:paraId="3E2653E9" w14:textId="77777777" w:rsidR="00AC289E" w:rsidRDefault="00AC289E" w:rsidP="00AC289E">
            <w:pPr>
              <w:autoSpaceDE w:val="0"/>
              <w:autoSpaceDN w:val="0"/>
              <w:adjustRightInd w:val="0"/>
              <w:spacing w:line="276" w:lineRule="auto"/>
              <w:jc w:val="both"/>
              <w:rPr>
                <w:rFonts w:ascii="Arial" w:hAnsi="Arial" w:cs="Arial"/>
                <w:lang w:eastAsia="es-CO"/>
              </w:rPr>
            </w:pPr>
          </w:p>
          <w:p w14:paraId="5F6DEA95" w14:textId="77777777" w:rsidR="00AC289E" w:rsidRDefault="00AC289E" w:rsidP="00AC289E">
            <w:pPr>
              <w:pStyle w:val="Prrafodelista"/>
              <w:spacing w:before="100" w:beforeAutospacing="1" w:after="100" w:afterAutospacing="1" w:line="276" w:lineRule="auto"/>
              <w:ind w:left="0"/>
              <w:jc w:val="both"/>
              <w:rPr>
                <w:rFonts w:ascii="Arial" w:hAnsi="Arial" w:cs="Arial"/>
              </w:rPr>
            </w:pPr>
            <w:r w:rsidRPr="002C637F">
              <w:rPr>
                <w:rFonts w:ascii="Arial" w:hAnsi="Arial" w:cs="Arial"/>
                <w:lang w:eastAsia="es-CO"/>
              </w:rPr>
              <w:t>Frente a la imputación de responsabilidad que se le realiza a la Superintendencia de Notariado y Registro, me permito realizar las siguientes consideraciones:</w:t>
            </w:r>
            <w:r w:rsidRPr="00485A04">
              <w:rPr>
                <w:rFonts w:ascii="Arial" w:hAnsi="Arial" w:cs="Arial"/>
              </w:rPr>
              <w:t xml:space="preserve"> </w:t>
            </w:r>
          </w:p>
          <w:p w14:paraId="16CD4746" w14:textId="77777777" w:rsidR="00AC289E" w:rsidRPr="00DB78FD" w:rsidRDefault="00AC289E" w:rsidP="00AC289E">
            <w:pPr>
              <w:pStyle w:val="Prrafodelista"/>
              <w:numPr>
                <w:ilvl w:val="1"/>
                <w:numId w:val="49"/>
              </w:numPr>
              <w:spacing w:before="100" w:beforeAutospacing="1" w:after="100" w:afterAutospacing="1" w:line="276" w:lineRule="auto"/>
              <w:ind w:left="293"/>
              <w:jc w:val="both"/>
              <w:rPr>
                <w:rFonts w:ascii="Arial" w:hAnsi="Arial" w:cs="Arial"/>
                <w:b/>
                <w:bCs/>
              </w:rPr>
            </w:pPr>
            <w:r w:rsidRPr="00DB78FD">
              <w:rPr>
                <w:rFonts w:ascii="Arial" w:hAnsi="Arial" w:cs="Arial"/>
                <w:b/>
                <w:bCs/>
              </w:rPr>
              <w:t xml:space="preserve">Las actuaciones de la ORIP </w:t>
            </w:r>
            <w:r>
              <w:rPr>
                <w:rFonts w:ascii="Arial" w:hAnsi="Arial" w:cs="Arial"/>
                <w:b/>
                <w:bCs/>
              </w:rPr>
              <w:t>Medellín Sur</w:t>
            </w:r>
            <w:r w:rsidRPr="00DB78FD">
              <w:rPr>
                <w:rFonts w:ascii="Arial" w:hAnsi="Arial" w:cs="Arial"/>
                <w:b/>
                <w:bCs/>
              </w:rPr>
              <w:t xml:space="preserve"> de dieron en estricto cumplimiento de un deber legal:</w:t>
            </w:r>
          </w:p>
          <w:p w14:paraId="5C34068B" w14:textId="77777777" w:rsidR="00AC289E" w:rsidRPr="00485A04" w:rsidRDefault="00AC289E" w:rsidP="00AC289E">
            <w:pPr>
              <w:spacing w:before="100" w:beforeAutospacing="1" w:after="100" w:afterAutospacing="1" w:line="276" w:lineRule="auto"/>
              <w:jc w:val="both"/>
              <w:rPr>
                <w:rFonts w:ascii="Arial" w:hAnsi="Arial" w:cs="Arial"/>
              </w:rPr>
            </w:pPr>
            <w:r w:rsidRPr="00485A04">
              <w:rPr>
                <w:rFonts w:ascii="Arial" w:hAnsi="Arial" w:cs="Arial"/>
              </w:rPr>
              <w:t xml:space="preserve">Respecto de estas pretensiones es preciso resaltar, que no encuentro relación en cuanto a las actuaciones desplegadas por la entidad demandada y lo argumentado por </w:t>
            </w:r>
            <w:r>
              <w:rPr>
                <w:rFonts w:ascii="Arial" w:hAnsi="Arial" w:cs="Arial"/>
              </w:rPr>
              <w:t>el demandante</w:t>
            </w:r>
            <w:r w:rsidRPr="00485A04">
              <w:rPr>
                <w:rFonts w:ascii="Arial" w:hAnsi="Arial" w:cs="Arial"/>
              </w:rPr>
              <w:t xml:space="preserve">, considero además que ni en los hechos de </w:t>
            </w:r>
            <w:r>
              <w:rPr>
                <w:rFonts w:ascii="Arial" w:hAnsi="Arial" w:cs="Arial"/>
              </w:rPr>
              <w:t>la demanda</w:t>
            </w:r>
            <w:r w:rsidRPr="00485A04">
              <w:rPr>
                <w:rFonts w:ascii="Arial" w:hAnsi="Arial" w:cs="Arial"/>
              </w:rPr>
              <w:t xml:space="preserve"> ni en los documentos aportados como pruebas existe evidencia que demuestre que el servicio registral haya sido prestado infringiendo normas, en forma irregular o con desconocimiento o violación de normas superiores y como consecuencia de ello no logra </w:t>
            </w:r>
            <w:r>
              <w:rPr>
                <w:rFonts w:ascii="Arial" w:hAnsi="Arial" w:cs="Arial"/>
              </w:rPr>
              <w:t>el demandante</w:t>
            </w:r>
            <w:r w:rsidRPr="00485A04">
              <w:rPr>
                <w:rFonts w:ascii="Arial" w:hAnsi="Arial" w:cs="Arial"/>
              </w:rPr>
              <w:t xml:space="preserve"> demostrar que las mismas le causaron un daño real, directo y cierto.</w:t>
            </w:r>
          </w:p>
          <w:p w14:paraId="52EBF297" w14:textId="77777777" w:rsidR="00AC289E" w:rsidRPr="00485A04" w:rsidRDefault="00AC289E" w:rsidP="00AC289E">
            <w:pPr>
              <w:spacing w:before="100" w:beforeAutospacing="1" w:after="100" w:afterAutospacing="1" w:line="276" w:lineRule="auto"/>
              <w:jc w:val="both"/>
              <w:rPr>
                <w:rFonts w:ascii="Arial" w:hAnsi="Arial" w:cs="Arial"/>
              </w:rPr>
            </w:pPr>
            <w:r w:rsidRPr="00485A04">
              <w:rPr>
                <w:rFonts w:ascii="Arial" w:hAnsi="Arial" w:cs="Arial"/>
              </w:rPr>
              <w:t>Lo anterior tiene sustento en que los actos administrativos proferidos por las Oficinas de Registro de Instrumentos Públicos, de manera general, se presumen válidos dado que se expiden en vigencia de su propio marco normativo (ley 1579/2012, ley 1437/2011) por lo que gozan de legalidad formal y material, así se explica en la norma:</w:t>
            </w:r>
          </w:p>
          <w:p w14:paraId="40C65A81"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w:t>
            </w:r>
            <w:r>
              <w:rPr>
                <w:rFonts w:ascii="Arial" w:hAnsi="Arial" w:cs="Arial"/>
                <w:i/>
              </w:rPr>
              <w:t>[</w:t>
            </w:r>
            <w:r w:rsidRPr="00485A04">
              <w:rPr>
                <w:rFonts w:ascii="Arial" w:hAnsi="Arial" w:cs="Arial"/>
                <w:i/>
              </w:rPr>
              <w:t>ARTÍCULO 1o. NATURALEZA DEL REGISTRO. El registro de la propiedad inmueble es un servicio público prestado por el Estado por funcionarios denominados Registradores de Instrumentos Públicos, en la forma aquí establecida y para los fines y con los efectos consagrados en las leyes.</w:t>
            </w:r>
          </w:p>
          <w:p w14:paraId="148AE3ED"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ARTÍCULO 2o. OBJETIVOS. El registro de la propiedad inmueble tiene como objetivos básicos los siguientes:</w:t>
            </w:r>
          </w:p>
          <w:p w14:paraId="2F56C581"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lastRenderedPageBreak/>
              <w:t>a) Servir de medio de tradición del dominio de los bienes raíces y de los otros derechos reales constituidos en ellos de conformidad con el artículo 756 del Código Civil;</w:t>
            </w:r>
          </w:p>
          <w:p w14:paraId="2EE3A780"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b) Dar publicidad a los instrumentos públicos que trasladen, transmitan, muden, graven, limiten, declaren, afecten, modifiquen o extingan derechos reales sobre los bienes raíces;</w:t>
            </w:r>
          </w:p>
          <w:p w14:paraId="6E9DB7D5"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c) Revestir de mérito probatorio a todos los instrumentos públicos sujetos a inscripción.</w:t>
            </w:r>
          </w:p>
          <w:p w14:paraId="33A25A85"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ARTÍCULO 3o PRINCIPIOS. Las reglas fundamentales que sirven de base al sistema registral son los principios de:</w:t>
            </w:r>
          </w:p>
          <w:p w14:paraId="767768C5"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a) Rogación. Los asientos en el registro se practican a solicitud de parte interesada, del Notario, por orden de autoridad judicial o administrativa.</w:t>
            </w:r>
          </w:p>
          <w:p w14:paraId="5DFB4035"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El Registrador de Instrumentos Públicos sólo podrá hacer inscripciones de oficio cuando la ley lo autorice;</w:t>
            </w:r>
          </w:p>
          <w:p w14:paraId="0ADB07CD"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 xml:space="preserve">b) Especialidad. A cada unidad inmobiliaria se le asignará una matrícula única, en la cual se consignará cronológicamente toda la historia jurídica del </w:t>
            </w:r>
            <w:proofErr w:type="gramStart"/>
            <w:r w:rsidRPr="00485A04">
              <w:rPr>
                <w:rFonts w:ascii="Arial" w:hAnsi="Arial" w:cs="Arial"/>
                <w:i/>
              </w:rPr>
              <w:t>respectivo bien raíz</w:t>
            </w:r>
            <w:proofErr w:type="gramEnd"/>
            <w:r w:rsidRPr="00485A04">
              <w:rPr>
                <w:rFonts w:ascii="Arial" w:hAnsi="Arial" w:cs="Arial"/>
                <w:i/>
              </w:rPr>
              <w:t>;</w:t>
            </w:r>
          </w:p>
          <w:p w14:paraId="0FC6EF16"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c) Prioridad o rango. El acto registrable que primero se radique, tiene preferencia sobre cualquier otro que se radique con posterioridad, aunque el documento haya sido expedido con fecha anterior, salvo las excepciones consagradas en la ley;</w:t>
            </w:r>
          </w:p>
          <w:p w14:paraId="5DCEC787"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d) Legalidad. Solo son registrables los títulos y documentos que reúnan los requisitos exigidos por las leyes para su inscripción;</w:t>
            </w:r>
          </w:p>
          <w:p w14:paraId="60C96A25"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e) Legitimación. Los asientos registrales gozan de presunción de veracidad y exactitud, mientras no se demuestre lo contrario;</w:t>
            </w:r>
          </w:p>
          <w:p w14:paraId="29FA010F" w14:textId="77777777" w:rsidR="00AC289E" w:rsidRPr="00485A04" w:rsidRDefault="00AC289E" w:rsidP="00AC289E">
            <w:pPr>
              <w:spacing w:before="100" w:beforeAutospacing="1" w:after="100" w:afterAutospacing="1" w:line="276" w:lineRule="auto"/>
              <w:jc w:val="both"/>
              <w:rPr>
                <w:rFonts w:ascii="Arial" w:hAnsi="Arial" w:cs="Arial"/>
                <w:i/>
              </w:rPr>
            </w:pPr>
            <w:r w:rsidRPr="00485A04">
              <w:rPr>
                <w:rFonts w:ascii="Arial" w:hAnsi="Arial" w:cs="Arial"/>
                <w:i/>
              </w:rPr>
              <w:t>f) Tracto sucesivo. Solo el titular inscrito tendrá la facultad de enajenar el dominio u otro derecho real sobre un inmueble salvo lo dispuesto para la llamada falsa tradición</w:t>
            </w:r>
            <w:r>
              <w:rPr>
                <w:rFonts w:ascii="Arial" w:hAnsi="Arial" w:cs="Arial"/>
                <w:i/>
              </w:rPr>
              <w:t>]</w:t>
            </w:r>
            <w:r w:rsidRPr="00485A04">
              <w:rPr>
                <w:rFonts w:ascii="Arial" w:hAnsi="Arial" w:cs="Arial"/>
                <w:i/>
              </w:rPr>
              <w:t>”.</w:t>
            </w:r>
          </w:p>
          <w:p w14:paraId="77075A56" w14:textId="77777777" w:rsidR="00AC289E" w:rsidRDefault="00AC289E" w:rsidP="00AC289E">
            <w:pPr>
              <w:tabs>
                <w:tab w:val="left" w:pos="7513"/>
              </w:tabs>
              <w:spacing w:line="276" w:lineRule="auto"/>
              <w:jc w:val="both"/>
              <w:rPr>
                <w:rFonts w:ascii="Arial" w:hAnsi="Arial" w:cs="Arial"/>
              </w:rPr>
            </w:pPr>
            <w:r w:rsidRPr="00485A04">
              <w:rPr>
                <w:rFonts w:ascii="Arial" w:hAnsi="Arial" w:cs="Arial"/>
              </w:rPr>
              <w:t xml:space="preserve">Al respecto es importante resaltar que los documentos que sean o deban ser parte de la cadena </w:t>
            </w:r>
            <w:proofErr w:type="spellStart"/>
            <w:r w:rsidRPr="00485A04">
              <w:rPr>
                <w:rFonts w:ascii="Arial" w:hAnsi="Arial" w:cs="Arial"/>
              </w:rPr>
              <w:t>traditicia</w:t>
            </w:r>
            <w:proofErr w:type="spellEnd"/>
            <w:r w:rsidRPr="00485A04">
              <w:rPr>
                <w:rFonts w:ascii="Arial" w:hAnsi="Arial" w:cs="Arial"/>
              </w:rPr>
              <w:t xml:space="preserve"> de un determinado bien raíz, una vez radicados y ya en la etapa de registro que se llama “calificación” prevista en el artículo 16 y s.s. del decreto 1579/2012, en ella se </w:t>
            </w:r>
            <w:r w:rsidRPr="00485A04">
              <w:rPr>
                <w:rFonts w:ascii="Arial" w:hAnsi="Arial" w:cs="Arial"/>
              </w:rPr>
              <w:lastRenderedPageBreak/>
              <w:t>atiende únicamente al contenido literal del documento o instrumento contentivo del acto jurídico a registrar, a fin de que su registro final se ajuste a derecho y sirva de medio de tradición y se de la publicidad acorde con los actos o contratos que para este asunto declaren y modifiquen unilateralmente la situación jurídica del inmueble, atendiendo como ya se dijo solo al contenido literal del mismo.</w:t>
            </w:r>
          </w:p>
          <w:p w14:paraId="702196CA" w14:textId="77777777" w:rsidR="00AC289E" w:rsidRPr="00BC464C" w:rsidRDefault="00AC289E" w:rsidP="00AC289E">
            <w:pPr>
              <w:tabs>
                <w:tab w:val="left" w:pos="7513"/>
              </w:tabs>
              <w:spacing w:line="276" w:lineRule="auto"/>
              <w:jc w:val="both"/>
              <w:rPr>
                <w:rFonts w:ascii="Arial" w:hAnsi="Arial" w:cs="Arial"/>
                <w:bCs/>
                <w:iCs/>
              </w:rPr>
            </w:pPr>
          </w:p>
          <w:p w14:paraId="53A2C5D5" w14:textId="77777777" w:rsidR="00AC289E" w:rsidRPr="00DB78FD" w:rsidRDefault="00AC289E" w:rsidP="00AC289E">
            <w:pPr>
              <w:numPr>
                <w:ilvl w:val="1"/>
                <w:numId w:val="49"/>
              </w:numPr>
              <w:tabs>
                <w:tab w:val="left" w:pos="293"/>
              </w:tabs>
              <w:spacing w:line="276" w:lineRule="auto"/>
              <w:ind w:left="293"/>
              <w:jc w:val="both"/>
              <w:rPr>
                <w:rFonts w:ascii="Arial" w:hAnsi="Arial" w:cs="Arial"/>
                <w:b/>
                <w:iCs/>
              </w:rPr>
            </w:pPr>
            <w:r w:rsidRPr="00DB78FD">
              <w:rPr>
                <w:rFonts w:ascii="Arial" w:hAnsi="Arial" w:cs="Arial"/>
                <w:b/>
                <w:iCs/>
              </w:rPr>
              <w:t>Que nos hallamos frente a la causal de eximente de responsabilidad denominada HECHO EXCLUSIVO DE UN TERCERO.</w:t>
            </w:r>
          </w:p>
          <w:p w14:paraId="268C5F5C" w14:textId="77777777" w:rsidR="00AC289E" w:rsidRDefault="00AC289E" w:rsidP="00AC289E">
            <w:pPr>
              <w:tabs>
                <w:tab w:val="left" w:pos="7513"/>
              </w:tabs>
              <w:spacing w:line="276" w:lineRule="auto"/>
              <w:jc w:val="both"/>
              <w:rPr>
                <w:rFonts w:ascii="Arial" w:hAnsi="Arial" w:cs="Arial"/>
                <w:b/>
                <w:i/>
              </w:rPr>
            </w:pPr>
          </w:p>
          <w:p w14:paraId="7233243C" w14:textId="77777777" w:rsidR="00AC289E" w:rsidRPr="00BE189F" w:rsidRDefault="00AC289E" w:rsidP="00AC289E">
            <w:pPr>
              <w:tabs>
                <w:tab w:val="left" w:pos="7513"/>
              </w:tabs>
              <w:spacing w:line="276" w:lineRule="auto"/>
              <w:jc w:val="both"/>
              <w:rPr>
                <w:rFonts w:ascii="Arial" w:hAnsi="Arial" w:cs="Arial"/>
              </w:rPr>
            </w:pPr>
            <w:r w:rsidRPr="00BE189F">
              <w:rPr>
                <w:rFonts w:ascii="Arial" w:hAnsi="Arial" w:cs="Arial"/>
              </w:rPr>
              <w:t>Es claro, y así lo ha dejado sentado la jurisprudencia del H. Consejo de Estado, que cuando se presentan daños a los particulares con ocasión de la falla del servicio, el Estado debe responder patrimonialmente; sin embargo, éste no tiene por qué reparar los daños causados por un tercero, de allí que en el presente caso no existe falla en el servicio por parte de la Superintendencia de Notariado y Registro, pues las conductas desplegadas por la O</w:t>
            </w:r>
            <w:r>
              <w:rPr>
                <w:rFonts w:ascii="Arial" w:hAnsi="Arial" w:cs="Arial"/>
              </w:rPr>
              <w:t>ficina de Registro de Instrumentos Públicos</w:t>
            </w:r>
            <w:r w:rsidRPr="00BE189F">
              <w:rPr>
                <w:rFonts w:ascii="Arial" w:hAnsi="Arial" w:cs="Arial"/>
              </w:rPr>
              <w:t xml:space="preserve"> de </w:t>
            </w:r>
            <w:r>
              <w:rPr>
                <w:rFonts w:ascii="Arial" w:hAnsi="Arial" w:cs="Arial"/>
              </w:rPr>
              <w:t>La Ceja</w:t>
            </w:r>
            <w:r w:rsidRPr="00BE189F">
              <w:rPr>
                <w:rFonts w:ascii="Arial" w:hAnsi="Arial" w:cs="Arial"/>
              </w:rPr>
              <w:t xml:space="preserve"> que culminaron </w:t>
            </w:r>
            <w:r>
              <w:rPr>
                <w:rFonts w:ascii="Arial" w:hAnsi="Arial" w:cs="Arial"/>
              </w:rPr>
              <w:t xml:space="preserve">con la cancelación de la anotación 4, </w:t>
            </w:r>
            <w:r w:rsidRPr="00BE189F">
              <w:rPr>
                <w:rFonts w:ascii="Arial" w:hAnsi="Arial" w:cs="Arial"/>
              </w:rPr>
              <w:t xml:space="preserve">se hicieron conforme a la normatividad vigente y de otra parte no se aporta por parte del </w:t>
            </w:r>
            <w:r>
              <w:rPr>
                <w:rFonts w:ascii="Arial" w:hAnsi="Arial" w:cs="Arial"/>
              </w:rPr>
              <w:t>demandante</w:t>
            </w:r>
            <w:r w:rsidRPr="00BE189F">
              <w:rPr>
                <w:rFonts w:ascii="Arial" w:hAnsi="Arial" w:cs="Arial"/>
              </w:rPr>
              <w:t xml:space="preserve"> prueba que las funciones inspección, vigilancia y control de la </w:t>
            </w:r>
            <w:r>
              <w:rPr>
                <w:rFonts w:ascii="Arial" w:hAnsi="Arial" w:cs="Arial"/>
              </w:rPr>
              <w:t>entidad</w:t>
            </w:r>
            <w:r w:rsidRPr="00BE189F">
              <w:rPr>
                <w:rFonts w:ascii="Arial" w:hAnsi="Arial" w:cs="Arial"/>
              </w:rPr>
              <w:t xml:space="preserve"> no se hubiesen cumplido o se realizara de forma deficiente.</w:t>
            </w:r>
          </w:p>
          <w:p w14:paraId="2F020D81" w14:textId="77777777" w:rsidR="00AC289E" w:rsidRPr="00BE189F" w:rsidRDefault="00AC289E" w:rsidP="00AC289E">
            <w:pPr>
              <w:tabs>
                <w:tab w:val="left" w:pos="7513"/>
              </w:tabs>
              <w:spacing w:line="276" w:lineRule="auto"/>
              <w:jc w:val="both"/>
              <w:rPr>
                <w:rFonts w:ascii="Arial" w:hAnsi="Arial" w:cs="Arial"/>
                <w:b/>
              </w:rPr>
            </w:pPr>
          </w:p>
          <w:p w14:paraId="7CCCE381" w14:textId="77777777" w:rsidR="00AC289E" w:rsidRPr="00BE189F" w:rsidRDefault="00AC289E" w:rsidP="00AC289E">
            <w:pPr>
              <w:tabs>
                <w:tab w:val="left" w:pos="7513"/>
              </w:tabs>
              <w:spacing w:line="276" w:lineRule="auto"/>
              <w:jc w:val="both"/>
              <w:rPr>
                <w:rFonts w:ascii="Arial" w:hAnsi="Arial" w:cs="Arial"/>
              </w:rPr>
            </w:pPr>
            <w:r w:rsidRPr="00BE189F">
              <w:rPr>
                <w:rFonts w:ascii="Arial" w:hAnsi="Arial" w:cs="Arial"/>
              </w:rPr>
              <w:t xml:space="preserve">De existir el daño que alega, este tiene su génesis en la comisión de un delito por parte de un tercero ajeno a la </w:t>
            </w:r>
            <w:r>
              <w:rPr>
                <w:rFonts w:ascii="Arial" w:hAnsi="Arial" w:cs="Arial"/>
              </w:rPr>
              <w:t>Superintendencia de Notariado y Registro</w:t>
            </w:r>
            <w:r w:rsidRPr="00BE189F">
              <w:rPr>
                <w:rFonts w:ascii="Arial" w:hAnsi="Arial" w:cs="Arial"/>
              </w:rPr>
              <w:t xml:space="preserve">, que se materializó con la </w:t>
            </w:r>
            <w:r>
              <w:rPr>
                <w:rFonts w:ascii="Arial" w:hAnsi="Arial" w:cs="Arial"/>
              </w:rPr>
              <w:t>aparente falsificación de los documentos correspondientes a la cancelación de limitaciones y gravámenes sobre el bien inmueble, lo que permitió su comercialización sin estar autorizada por quien detenta el poder dispositivo sobre el bien.</w:t>
            </w:r>
          </w:p>
          <w:p w14:paraId="5B40BD4E" w14:textId="77777777" w:rsidR="00AC289E" w:rsidRPr="00BE189F" w:rsidRDefault="00AC289E" w:rsidP="00AC289E">
            <w:pPr>
              <w:tabs>
                <w:tab w:val="left" w:pos="7513"/>
              </w:tabs>
              <w:spacing w:line="276" w:lineRule="auto"/>
              <w:jc w:val="both"/>
              <w:rPr>
                <w:rFonts w:ascii="Arial" w:hAnsi="Arial" w:cs="Arial"/>
                <w:b/>
              </w:rPr>
            </w:pPr>
          </w:p>
          <w:p w14:paraId="5DAB3379" w14:textId="77777777" w:rsidR="00AC289E" w:rsidRPr="00BE189F" w:rsidRDefault="00AC289E" w:rsidP="00AC289E">
            <w:pPr>
              <w:tabs>
                <w:tab w:val="left" w:pos="7513"/>
              </w:tabs>
              <w:spacing w:line="276" w:lineRule="auto"/>
              <w:jc w:val="both"/>
              <w:rPr>
                <w:rFonts w:ascii="Arial" w:hAnsi="Arial" w:cs="Arial"/>
              </w:rPr>
            </w:pPr>
            <w:r w:rsidRPr="00BE189F">
              <w:rPr>
                <w:rFonts w:ascii="Arial" w:hAnsi="Arial" w:cs="Arial"/>
              </w:rPr>
              <w:t>Adicionalmente, se torna imperioso destacar que el hecho de un tercero como causal de exoneración de responsabilidad, se da ante la intervención exclusiva de un agente jurídicamente ajeno al demandado en la producción de un daño. Para que el hecho de un tercero tenga poder exoneratorio tal conducta debe reunir las mismas características de imprevisibilidad e irresistibilidad que se requieren para la fuerza mayor y el caso fortuito. Asimismo, la intervención del tercero debe ser esencial para la producción del perjuicio.</w:t>
            </w:r>
          </w:p>
          <w:p w14:paraId="0BE29681" w14:textId="77777777" w:rsidR="00AC289E" w:rsidRPr="00BE189F" w:rsidRDefault="00AC289E" w:rsidP="00AC289E">
            <w:pPr>
              <w:tabs>
                <w:tab w:val="left" w:pos="7513"/>
              </w:tabs>
              <w:spacing w:line="276" w:lineRule="auto"/>
              <w:jc w:val="both"/>
              <w:rPr>
                <w:rFonts w:ascii="Arial" w:hAnsi="Arial" w:cs="Arial"/>
                <w:b/>
              </w:rPr>
            </w:pPr>
          </w:p>
          <w:p w14:paraId="0EB49BC6" w14:textId="77777777" w:rsidR="00AC289E" w:rsidRPr="00BE189F" w:rsidRDefault="00AC289E" w:rsidP="00AC289E">
            <w:pPr>
              <w:tabs>
                <w:tab w:val="left" w:pos="7513"/>
              </w:tabs>
              <w:spacing w:line="276" w:lineRule="auto"/>
              <w:jc w:val="both"/>
              <w:rPr>
                <w:rFonts w:ascii="Arial" w:hAnsi="Arial" w:cs="Arial"/>
              </w:rPr>
            </w:pPr>
            <w:r w:rsidRPr="00BE189F">
              <w:rPr>
                <w:rFonts w:ascii="Arial" w:hAnsi="Arial" w:cs="Arial"/>
                <w:bCs/>
              </w:rPr>
              <w:lastRenderedPageBreak/>
              <w:t>En este orden de ideas, se requiere entones que e</w:t>
            </w:r>
            <w:r w:rsidRPr="00BE189F">
              <w:rPr>
                <w:rFonts w:ascii="Arial" w:hAnsi="Arial" w:cs="Arial"/>
              </w:rPr>
              <w:t>l hecho haya sido causado por cualquier persona que carezca de relación de dependencia jurídica con el demandado y por la cual éste no tiene obligación de responder, como en efecto ocurre en el evento que nos ocupa.</w:t>
            </w:r>
          </w:p>
          <w:p w14:paraId="41C8A44A" w14:textId="77777777" w:rsidR="00AC289E" w:rsidRPr="00BE189F" w:rsidRDefault="00AC289E" w:rsidP="00AC289E">
            <w:pPr>
              <w:tabs>
                <w:tab w:val="left" w:pos="7513"/>
              </w:tabs>
              <w:spacing w:line="276" w:lineRule="auto"/>
              <w:jc w:val="both"/>
              <w:rPr>
                <w:rFonts w:ascii="Arial" w:hAnsi="Arial" w:cs="Arial"/>
                <w:b/>
              </w:rPr>
            </w:pPr>
          </w:p>
          <w:p w14:paraId="49538EE9" w14:textId="77777777" w:rsidR="00AC289E" w:rsidRDefault="00AC289E" w:rsidP="00AC289E">
            <w:pPr>
              <w:tabs>
                <w:tab w:val="left" w:pos="7513"/>
              </w:tabs>
              <w:spacing w:line="276" w:lineRule="auto"/>
              <w:jc w:val="both"/>
              <w:rPr>
                <w:rFonts w:ascii="Arial" w:hAnsi="Arial" w:cs="Arial"/>
              </w:rPr>
            </w:pPr>
            <w:r w:rsidRPr="00BE189F">
              <w:rPr>
                <w:rFonts w:ascii="Arial" w:hAnsi="Arial" w:cs="Arial"/>
              </w:rPr>
              <w:t>El hecho debe además ser irresistible, es decir, tener la entidad suficiente para poner al demandado, a pesar de sus mayores esfuerzos, en imposibilidad de evitar el daño, requisito este que se encuentra satisfecho en el presente caso, habida cuenta que los documentos aportados a la Oficina de Registro cumplían con todos los requisitos formales previstos para proceder a su inscripción; adicionalmente el hecho debe ser imprevisto, lo que significa que debe tratarse de un evento de un carácter tan remotamente probable y súbito que ni siquiera una persona diligente hubiera razonablemente tomado medidas para precaverlo, y la conducta del tercero debe desempeñar un papel exclusivo o esencial en la producción del daño.</w:t>
            </w:r>
          </w:p>
          <w:p w14:paraId="259E6D4B" w14:textId="77777777" w:rsidR="00AC289E" w:rsidRDefault="00AC289E" w:rsidP="00AC289E">
            <w:pPr>
              <w:tabs>
                <w:tab w:val="left" w:pos="7513"/>
              </w:tabs>
              <w:spacing w:line="276" w:lineRule="auto"/>
              <w:jc w:val="both"/>
              <w:rPr>
                <w:rFonts w:ascii="Arial" w:hAnsi="Arial" w:cs="Arial"/>
              </w:rPr>
            </w:pPr>
          </w:p>
          <w:p w14:paraId="49D39842" w14:textId="77777777" w:rsidR="00AC289E" w:rsidRPr="00E315E8" w:rsidRDefault="00AC289E" w:rsidP="00AC289E">
            <w:pPr>
              <w:numPr>
                <w:ilvl w:val="1"/>
                <w:numId w:val="49"/>
              </w:numPr>
              <w:spacing w:line="276" w:lineRule="auto"/>
              <w:ind w:left="293"/>
              <w:jc w:val="both"/>
              <w:rPr>
                <w:rFonts w:ascii="Arial" w:hAnsi="Arial" w:cs="Arial"/>
                <w:b/>
                <w:iCs/>
              </w:rPr>
            </w:pPr>
            <w:r w:rsidRPr="00E315E8">
              <w:rPr>
                <w:rFonts w:ascii="Arial" w:hAnsi="Arial" w:cs="Arial"/>
                <w:b/>
                <w:iCs/>
              </w:rPr>
              <w:t>Inexistencia Del Nexo Causal</w:t>
            </w:r>
          </w:p>
          <w:p w14:paraId="5584F6CA" w14:textId="77777777" w:rsidR="00AC289E" w:rsidRDefault="00AC289E" w:rsidP="00AC289E">
            <w:pPr>
              <w:tabs>
                <w:tab w:val="left" w:pos="7513"/>
              </w:tabs>
              <w:spacing w:line="276" w:lineRule="auto"/>
              <w:jc w:val="both"/>
              <w:rPr>
                <w:rFonts w:ascii="Arial" w:hAnsi="Arial" w:cs="Arial"/>
                <w:b/>
                <w:i/>
              </w:rPr>
            </w:pPr>
          </w:p>
          <w:p w14:paraId="68FC82EA" w14:textId="77777777" w:rsidR="00AC289E" w:rsidRPr="00BE189F" w:rsidRDefault="00AC289E" w:rsidP="00AC289E">
            <w:pPr>
              <w:tabs>
                <w:tab w:val="left" w:pos="7513"/>
              </w:tabs>
              <w:spacing w:line="276" w:lineRule="auto"/>
              <w:jc w:val="both"/>
              <w:rPr>
                <w:rFonts w:ascii="Arial" w:hAnsi="Arial" w:cs="Arial"/>
              </w:rPr>
            </w:pPr>
            <w:r w:rsidRPr="00BE189F">
              <w:rPr>
                <w:rFonts w:ascii="Arial" w:hAnsi="Arial" w:cs="Arial"/>
              </w:rPr>
              <w:t>Conforme a lo dispuesto por el artículo 90 Constitucional, mandamiento de carácter superior en el ordenamiento Jurídico Colombiano, y por el artículo 140 de la Ley 1437 de 2011 “Por la cual se expide el Código de Procedimiento Administrativo y de lo Contencioso Administrativo”, para predicar la responsabilidad patrimonial de una entidad del estado se deben reunir tres elementos esenciales: I) Acción, omisión o extralimitación de una autoridad pública. II) Daño antijurídico. III) Nexo de causalidad entre las actuaciones de las autoridades públicas y en daño ocasionado.</w:t>
            </w:r>
          </w:p>
          <w:p w14:paraId="3A373B8D" w14:textId="77777777" w:rsidR="00AC289E" w:rsidRPr="00BE189F" w:rsidRDefault="00AC289E" w:rsidP="00AC289E">
            <w:pPr>
              <w:tabs>
                <w:tab w:val="left" w:pos="7513"/>
              </w:tabs>
              <w:spacing w:line="276" w:lineRule="auto"/>
              <w:jc w:val="both"/>
              <w:rPr>
                <w:rFonts w:ascii="Arial" w:hAnsi="Arial" w:cs="Arial"/>
              </w:rPr>
            </w:pPr>
          </w:p>
          <w:p w14:paraId="73F46351" w14:textId="77777777" w:rsidR="00AC289E" w:rsidRDefault="00AC289E" w:rsidP="00AC289E">
            <w:pPr>
              <w:tabs>
                <w:tab w:val="left" w:pos="7513"/>
              </w:tabs>
              <w:spacing w:line="276" w:lineRule="auto"/>
              <w:jc w:val="both"/>
              <w:rPr>
                <w:rFonts w:ascii="Arial" w:hAnsi="Arial" w:cs="Arial"/>
              </w:rPr>
            </w:pPr>
            <w:r w:rsidRPr="00BE189F">
              <w:rPr>
                <w:rFonts w:ascii="Arial" w:hAnsi="Arial" w:cs="Arial"/>
              </w:rPr>
              <w:t xml:space="preserve">Como se ha venido reiterando, la Superintendencia de Notariado y Registro, es ajena a las circunstancias que presuntamente produjeron los perjuicios deprecados por el </w:t>
            </w:r>
            <w:r>
              <w:rPr>
                <w:rFonts w:ascii="Arial" w:hAnsi="Arial" w:cs="Arial"/>
              </w:rPr>
              <w:t>demandante</w:t>
            </w:r>
            <w:r w:rsidRPr="00BE189F">
              <w:rPr>
                <w:rFonts w:ascii="Arial" w:hAnsi="Arial" w:cs="Arial"/>
              </w:rPr>
              <w:t>, y al no existir relación de causalidad entre una actuación desplegada por la entidad y el daño alegado, el cual fue causado por el hecho de un tercero ajeno a la entidad, se encuentra exenta de cualquier responsabilidad administrativa y patrimonial en el presente caso.</w:t>
            </w:r>
          </w:p>
          <w:p w14:paraId="01930521" w14:textId="77777777" w:rsidR="00AC289E" w:rsidRPr="00BE189F" w:rsidRDefault="00AC289E" w:rsidP="00AC289E">
            <w:pPr>
              <w:tabs>
                <w:tab w:val="left" w:pos="7513"/>
              </w:tabs>
              <w:spacing w:line="276" w:lineRule="auto"/>
              <w:jc w:val="both"/>
              <w:rPr>
                <w:rFonts w:ascii="Arial" w:hAnsi="Arial" w:cs="Arial"/>
              </w:rPr>
            </w:pPr>
          </w:p>
          <w:p w14:paraId="00386948" w14:textId="77777777" w:rsidR="00AC289E" w:rsidRPr="002C637F" w:rsidRDefault="00AC289E" w:rsidP="00AC289E">
            <w:pPr>
              <w:tabs>
                <w:tab w:val="left" w:pos="7513"/>
              </w:tabs>
              <w:spacing w:line="276" w:lineRule="auto"/>
              <w:jc w:val="both"/>
              <w:rPr>
                <w:rFonts w:ascii="Arial" w:hAnsi="Arial" w:cs="Arial"/>
                <w:b/>
              </w:rPr>
            </w:pPr>
          </w:p>
          <w:p w14:paraId="25B73FC6" w14:textId="77777777" w:rsidR="00991474" w:rsidRPr="008F4D73" w:rsidRDefault="00991474" w:rsidP="00991474">
            <w:pPr>
              <w:tabs>
                <w:tab w:val="left" w:pos="7513"/>
              </w:tabs>
              <w:jc w:val="both"/>
              <w:rPr>
                <w:rFonts w:ascii="Arial" w:hAnsi="Arial" w:cs="Arial"/>
                <w:bCs/>
              </w:rPr>
            </w:pPr>
          </w:p>
          <w:p w14:paraId="7968A342" w14:textId="045C633D" w:rsidR="009A6641" w:rsidRPr="008F4D73" w:rsidRDefault="009A6641" w:rsidP="009A6641">
            <w:pPr>
              <w:spacing w:line="276" w:lineRule="auto"/>
              <w:jc w:val="both"/>
              <w:rPr>
                <w:rFonts w:ascii="Arial" w:hAnsi="Arial" w:cs="Arial"/>
              </w:rPr>
            </w:pPr>
          </w:p>
        </w:tc>
      </w:tr>
      <w:tr w:rsidR="008D2342" w:rsidRPr="008F4D73" w14:paraId="17470DAC" w14:textId="77777777" w:rsidTr="00D61AD3">
        <w:trPr>
          <w:trHeight w:val="330"/>
        </w:trPr>
        <w:tc>
          <w:tcPr>
            <w:tcW w:w="9782" w:type="dxa"/>
            <w:tcBorders>
              <w:top w:val="single" w:sz="4" w:space="0" w:color="auto"/>
              <w:left w:val="double" w:sz="4" w:space="0" w:color="auto"/>
              <w:bottom w:val="single" w:sz="4" w:space="0" w:color="auto"/>
              <w:right w:val="double" w:sz="4" w:space="0" w:color="auto"/>
            </w:tcBorders>
            <w:shd w:val="clear" w:color="auto" w:fill="BFBFBF"/>
          </w:tcPr>
          <w:p w14:paraId="0785136E" w14:textId="33CD5262" w:rsidR="008D2342" w:rsidRPr="008F4D73" w:rsidRDefault="00C969C8" w:rsidP="00C969C8">
            <w:pPr>
              <w:pStyle w:val="Prrafodelista"/>
              <w:numPr>
                <w:ilvl w:val="0"/>
                <w:numId w:val="1"/>
              </w:numPr>
              <w:tabs>
                <w:tab w:val="left" w:pos="7513"/>
              </w:tabs>
              <w:spacing w:line="276" w:lineRule="auto"/>
              <w:jc w:val="center"/>
              <w:rPr>
                <w:rFonts w:ascii="Arial" w:hAnsi="Arial" w:cs="Arial"/>
                <w:bCs/>
              </w:rPr>
            </w:pPr>
            <w:r w:rsidRPr="008F4D73">
              <w:rPr>
                <w:rFonts w:ascii="Arial" w:hAnsi="Arial" w:cs="Arial"/>
                <w:b/>
                <w:bCs/>
              </w:rPr>
              <w:lastRenderedPageBreak/>
              <w:t>RECOMENDACIONES</w:t>
            </w:r>
          </w:p>
        </w:tc>
      </w:tr>
      <w:tr w:rsidR="008D2342" w:rsidRPr="008F4D73" w14:paraId="6E89E490" w14:textId="77777777" w:rsidTr="00D61AD3">
        <w:trPr>
          <w:trHeight w:val="2055"/>
        </w:trPr>
        <w:tc>
          <w:tcPr>
            <w:tcW w:w="9782" w:type="dxa"/>
            <w:tcBorders>
              <w:top w:val="single" w:sz="4" w:space="0" w:color="auto"/>
              <w:left w:val="double" w:sz="4" w:space="0" w:color="auto"/>
              <w:bottom w:val="single" w:sz="4" w:space="0" w:color="auto"/>
              <w:right w:val="double" w:sz="4" w:space="0" w:color="auto"/>
            </w:tcBorders>
          </w:tcPr>
          <w:p w14:paraId="1BE4477E" w14:textId="77777777" w:rsidR="008D2342" w:rsidRPr="008F4D73" w:rsidRDefault="008D2342" w:rsidP="008D2342">
            <w:pPr>
              <w:tabs>
                <w:tab w:val="left" w:pos="7513"/>
              </w:tabs>
              <w:spacing w:line="276" w:lineRule="auto"/>
              <w:jc w:val="center"/>
              <w:rPr>
                <w:rFonts w:ascii="Arial" w:hAnsi="Arial" w:cs="Arial"/>
                <w:b/>
                <w:bCs/>
              </w:rPr>
            </w:pPr>
          </w:p>
          <w:p w14:paraId="47295A84" w14:textId="77777777" w:rsidR="008D2342" w:rsidRPr="008F4D73" w:rsidRDefault="008D2342" w:rsidP="008D2342">
            <w:pPr>
              <w:tabs>
                <w:tab w:val="left" w:pos="7513"/>
              </w:tabs>
              <w:spacing w:line="276" w:lineRule="auto"/>
              <w:jc w:val="both"/>
              <w:rPr>
                <w:rFonts w:ascii="Arial" w:hAnsi="Arial" w:cs="Arial"/>
                <w:bCs/>
              </w:rPr>
            </w:pPr>
          </w:p>
          <w:p w14:paraId="309705D0" w14:textId="77777777" w:rsidR="00AC289E" w:rsidRPr="002C637F" w:rsidRDefault="00AC289E" w:rsidP="00AC289E">
            <w:pPr>
              <w:tabs>
                <w:tab w:val="left" w:pos="7513"/>
              </w:tabs>
              <w:rPr>
                <w:rFonts w:ascii="Arial" w:hAnsi="Arial" w:cs="Arial"/>
                <w:b/>
                <w:bCs/>
              </w:rPr>
            </w:pPr>
          </w:p>
          <w:p w14:paraId="2CC6D368" w14:textId="77777777" w:rsidR="00AC289E" w:rsidRPr="002C637F" w:rsidRDefault="00AC289E" w:rsidP="00AC289E">
            <w:pPr>
              <w:tabs>
                <w:tab w:val="left" w:pos="7513"/>
              </w:tabs>
              <w:jc w:val="both"/>
              <w:rPr>
                <w:rFonts w:ascii="Arial" w:hAnsi="Arial" w:cs="Arial"/>
              </w:rPr>
            </w:pPr>
            <w:r w:rsidRPr="002C637F">
              <w:rPr>
                <w:rFonts w:ascii="Arial" w:hAnsi="Arial" w:cs="Arial"/>
              </w:rPr>
              <w:t xml:space="preserve">Teniendo en cuenta el análisis de los supuestos hechos y de derecho se recomienda </w:t>
            </w:r>
            <w:r w:rsidRPr="002C637F">
              <w:rPr>
                <w:rFonts w:ascii="Arial" w:hAnsi="Arial" w:cs="Arial"/>
                <w:b/>
                <w:bCs/>
              </w:rPr>
              <w:t>NO CONCILIAR</w:t>
            </w:r>
            <w:r w:rsidRPr="002C637F">
              <w:rPr>
                <w:rFonts w:ascii="Arial" w:hAnsi="Arial" w:cs="Arial"/>
              </w:rPr>
              <w:t>, en vista de que no se cumplen los requisitos jurídicos y facticos señalados en los artículos 90 de la Constitución Política Nacional y el artículo 13</w:t>
            </w:r>
            <w:r>
              <w:rPr>
                <w:rFonts w:ascii="Arial" w:hAnsi="Arial" w:cs="Arial"/>
              </w:rPr>
              <w:t>7</w:t>
            </w:r>
            <w:r w:rsidRPr="002C637F">
              <w:rPr>
                <w:rFonts w:ascii="Arial" w:hAnsi="Arial" w:cs="Arial"/>
              </w:rPr>
              <w:t xml:space="preserve"> de la Ley 1437 de 2011.</w:t>
            </w:r>
          </w:p>
          <w:p w14:paraId="62A90443" w14:textId="77777777" w:rsidR="00AC289E" w:rsidRDefault="00AC289E" w:rsidP="00AC289E">
            <w:pPr>
              <w:tabs>
                <w:tab w:val="left" w:pos="7513"/>
              </w:tabs>
              <w:jc w:val="both"/>
              <w:rPr>
                <w:rFonts w:ascii="Arial" w:hAnsi="Arial" w:cs="Arial"/>
                <w:b/>
                <w:bCs/>
              </w:rPr>
            </w:pPr>
          </w:p>
          <w:p w14:paraId="0915631F" w14:textId="30D16E4B" w:rsidR="00AC289E" w:rsidRPr="0057055F" w:rsidRDefault="00AC289E" w:rsidP="00AC289E">
            <w:pPr>
              <w:tabs>
                <w:tab w:val="left" w:pos="7513"/>
              </w:tabs>
              <w:jc w:val="both"/>
              <w:rPr>
                <w:rFonts w:ascii="Arial" w:hAnsi="Arial" w:cs="Arial"/>
              </w:rPr>
            </w:pPr>
            <w:r w:rsidRPr="0057055F">
              <w:rPr>
                <w:rFonts w:ascii="Arial" w:hAnsi="Arial" w:cs="Arial"/>
              </w:rPr>
              <w:t>Adicionalmente se recomienda al comité analizar la posibilidad de compulsar copias a la registradora de instrumentos públicos y a los calificadores de las anotaciones 28, 29 y 30.</w:t>
            </w:r>
          </w:p>
          <w:p w14:paraId="1DC17EDF" w14:textId="6D80FA47" w:rsidR="008D2342" w:rsidRDefault="00AC289E" w:rsidP="008D2342">
            <w:pPr>
              <w:tabs>
                <w:tab w:val="left" w:pos="7513"/>
              </w:tabs>
              <w:spacing w:line="276" w:lineRule="auto"/>
              <w:jc w:val="center"/>
              <w:rPr>
                <w:rFonts w:ascii="Arial" w:hAnsi="Arial" w:cs="Arial"/>
                <w:b/>
                <w:bCs/>
              </w:rPr>
            </w:pPr>
            <w:r w:rsidRPr="005B34E9">
              <w:rPr>
                <w:rFonts w:ascii="Tahoma" w:hAnsi="Tahoma" w:cs="Tahoma"/>
                <w:noProof/>
                <w:lang w:val="es-CO" w:eastAsia="es-CO"/>
              </w:rPr>
              <w:drawing>
                <wp:anchor distT="0" distB="0" distL="114300" distR="114300" simplePos="0" relativeHeight="251659264" behindDoc="1" locked="0" layoutInCell="1" allowOverlap="1" wp14:anchorId="73B7C8F4" wp14:editId="13604858">
                  <wp:simplePos x="0" y="0"/>
                  <wp:positionH relativeFrom="margin">
                    <wp:posOffset>1994003</wp:posOffset>
                  </wp:positionH>
                  <wp:positionV relativeFrom="paragraph">
                    <wp:posOffset>90775</wp:posOffset>
                  </wp:positionV>
                  <wp:extent cx="2114550" cy="412115"/>
                  <wp:effectExtent l="0" t="0" r="0" b="698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14550" cy="412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2B2307" w14:textId="77777777" w:rsidR="00AC289E" w:rsidRPr="008F4D73" w:rsidRDefault="00AC289E" w:rsidP="008D2342">
            <w:pPr>
              <w:tabs>
                <w:tab w:val="left" w:pos="7513"/>
              </w:tabs>
              <w:spacing w:line="276" w:lineRule="auto"/>
              <w:jc w:val="center"/>
              <w:rPr>
                <w:rFonts w:ascii="Arial" w:hAnsi="Arial" w:cs="Arial"/>
                <w:b/>
                <w:bCs/>
              </w:rPr>
            </w:pPr>
          </w:p>
          <w:p w14:paraId="232CE277" w14:textId="575F3AA5" w:rsidR="008D2342" w:rsidRPr="008F4D73" w:rsidRDefault="00580A65" w:rsidP="008D2342">
            <w:pPr>
              <w:tabs>
                <w:tab w:val="left" w:pos="7513"/>
              </w:tabs>
              <w:spacing w:line="276" w:lineRule="auto"/>
              <w:jc w:val="center"/>
              <w:rPr>
                <w:rFonts w:ascii="Arial" w:hAnsi="Arial" w:cs="Arial"/>
                <w:b/>
                <w:bCs/>
              </w:rPr>
            </w:pPr>
            <w:r w:rsidRPr="008F4D73">
              <w:rPr>
                <w:rFonts w:ascii="Arial" w:hAnsi="Arial" w:cs="Arial"/>
                <w:b/>
                <w:bCs/>
              </w:rPr>
              <w:t>ADRIANA CAROLINA PALACIO MESA</w:t>
            </w:r>
          </w:p>
          <w:p w14:paraId="0BF8C494" w14:textId="44098D0D" w:rsidR="008D2342" w:rsidRPr="008F4D73" w:rsidRDefault="008D2342" w:rsidP="00580A65">
            <w:pPr>
              <w:tabs>
                <w:tab w:val="left" w:pos="7513"/>
              </w:tabs>
              <w:spacing w:line="276" w:lineRule="auto"/>
              <w:jc w:val="center"/>
              <w:rPr>
                <w:rFonts w:ascii="Arial" w:hAnsi="Arial" w:cs="Arial"/>
                <w:bCs/>
              </w:rPr>
            </w:pPr>
            <w:r w:rsidRPr="008F4D73">
              <w:rPr>
                <w:rFonts w:ascii="Arial" w:hAnsi="Arial" w:cs="Arial"/>
                <w:bCs/>
              </w:rPr>
              <w:t>Abogad</w:t>
            </w:r>
            <w:r w:rsidR="00AA3CC9" w:rsidRPr="008F4D73">
              <w:rPr>
                <w:rFonts w:ascii="Arial" w:hAnsi="Arial" w:cs="Arial"/>
                <w:bCs/>
              </w:rPr>
              <w:t>a</w:t>
            </w:r>
            <w:r w:rsidRPr="008F4D73">
              <w:rPr>
                <w:rFonts w:ascii="Arial" w:hAnsi="Arial" w:cs="Arial"/>
                <w:bCs/>
              </w:rPr>
              <w:t xml:space="preserve"> Contratista </w:t>
            </w:r>
          </w:p>
          <w:p w14:paraId="619A10F8" w14:textId="77777777" w:rsidR="008D2342" w:rsidRPr="008F4D73" w:rsidRDefault="008D2342" w:rsidP="008D2342">
            <w:pPr>
              <w:tabs>
                <w:tab w:val="left" w:pos="7513"/>
              </w:tabs>
              <w:spacing w:line="276" w:lineRule="auto"/>
              <w:jc w:val="center"/>
              <w:rPr>
                <w:rFonts w:ascii="Arial" w:hAnsi="Arial" w:cs="Arial"/>
                <w:bCs/>
              </w:rPr>
            </w:pPr>
            <w:r w:rsidRPr="008F4D73">
              <w:rPr>
                <w:rFonts w:ascii="Arial" w:hAnsi="Arial" w:cs="Arial"/>
                <w:bCs/>
              </w:rPr>
              <w:t xml:space="preserve">Superintendencia de Notariado y Registro </w:t>
            </w:r>
          </w:p>
        </w:tc>
      </w:tr>
    </w:tbl>
    <w:p w14:paraId="4CE43A41" w14:textId="1D347B19" w:rsidR="006861D5" w:rsidRPr="008F4D73" w:rsidRDefault="006861D5">
      <w:pPr>
        <w:rPr>
          <w:rFonts w:ascii="Arial" w:hAnsi="Arial" w:cs="Arial"/>
        </w:rPr>
      </w:pPr>
    </w:p>
    <w:sectPr w:rsidR="006861D5" w:rsidRPr="008F4D73" w:rsidSect="0007336F">
      <w:headerReference w:type="default" r:id="rId25"/>
      <w:footerReference w:type="default" r:id="rId26"/>
      <w:pgSz w:w="12242" w:h="15842" w:code="1"/>
      <w:pgMar w:top="1701" w:right="1134" w:bottom="1134" w:left="1701" w:header="709" w:footer="85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2DF8E7" w14:textId="77777777" w:rsidR="006D5126" w:rsidRDefault="006D5126">
      <w:r>
        <w:separator/>
      </w:r>
    </w:p>
  </w:endnote>
  <w:endnote w:type="continuationSeparator" w:id="0">
    <w:p w14:paraId="02953367" w14:textId="77777777" w:rsidR="006D5126" w:rsidRDefault="006D51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60D239" w14:textId="345C92AA" w:rsidR="009D0B78" w:rsidRDefault="009D0B78" w:rsidP="0007336F">
    <w:pPr>
      <w:pStyle w:val="Sinespaciado"/>
      <w:jc w:val="right"/>
      <w:rPr>
        <w:rFonts w:ascii="Calibri Light" w:hAnsi="Calibri Light"/>
        <w:b/>
        <w:color w:val="A6A6A6"/>
        <w:sz w:val="20"/>
        <w:szCs w:val="20"/>
        <w:lang w:val="es-MX"/>
      </w:rPr>
    </w:pPr>
    <w:r w:rsidRPr="0031722E">
      <w:rPr>
        <w:rFonts w:ascii="Calibri Light" w:hAnsi="Calibri Light"/>
        <w:b/>
        <w:color w:val="A6A6A6"/>
        <w:sz w:val="20"/>
        <w:szCs w:val="20"/>
        <w:lang w:val="es-ES"/>
      </w:rPr>
      <w:t xml:space="preserve">Página </w:t>
    </w:r>
    <w:r w:rsidRPr="0031722E">
      <w:rPr>
        <w:rFonts w:ascii="Calibri Light" w:hAnsi="Calibri Light"/>
        <w:b/>
        <w:color w:val="A6A6A6"/>
        <w:sz w:val="20"/>
        <w:szCs w:val="20"/>
        <w:lang w:val="es-ES"/>
      </w:rPr>
      <w:fldChar w:fldCharType="begin"/>
    </w:r>
    <w:r w:rsidRPr="0031722E">
      <w:rPr>
        <w:rFonts w:ascii="Calibri Light" w:hAnsi="Calibri Light"/>
        <w:b/>
        <w:color w:val="A6A6A6"/>
        <w:sz w:val="20"/>
        <w:szCs w:val="20"/>
        <w:lang w:val="es-ES"/>
      </w:rPr>
      <w:instrText xml:space="preserve"> PAGE </w:instrText>
    </w:r>
    <w:r w:rsidRPr="0031722E">
      <w:rPr>
        <w:rFonts w:ascii="Calibri Light" w:hAnsi="Calibri Light"/>
        <w:b/>
        <w:color w:val="A6A6A6"/>
        <w:sz w:val="20"/>
        <w:szCs w:val="20"/>
        <w:lang w:val="es-ES"/>
      </w:rPr>
      <w:fldChar w:fldCharType="separate"/>
    </w:r>
    <w:r w:rsidR="00EC1CF7">
      <w:rPr>
        <w:rFonts w:ascii="Calibri Light" w:hAnsi="Calibri Light"/>
        <w:b/>
        <w:noProof/>
        <w:color w:val="A6A6A6"/>
        <w:sz w:val="20"/>
        <w:szCs w:val="20"/>
        <w:lang w:val="es-ES"/>
      </w:rPr>
      <w:t>1</w:t>
    </w:r>
    <w:r w:rsidRPr="0031722E">
      <w:rPr>
        <w:rFonts w:ascii="Calibri Light" w:hAnsi="Calibri Light"/>
        <w:b/>
        <w:color w:val="A6A6A6"/>
        <w:sz w:val="20"/>
        <w:szCs w:val="20"/>
        <w:lang w:val="es-MX"/>
      </w:rPr>
      <w:fldChar w:fldCharType="end"/>
    </w:r>
    <w:r w:rsidRPr="0031722E">
      <w:rPr>
        <w:rFonts w:ascii="Calibri Light" w:hAnsi="Calibri Light"/>
        <w:b/>
        <w:color w:val="A6A6A6"/>
        <w:sz w:val="20"/>
        <w:szCs w:val="20"/>
        <w:lang w:val="es-ES"/>
      </w:rPr>
      <w:t xml:space="preserve"> de </w:t>
    </w:r>
    <w:r w:rsidRPr="0031722E">
      <w:rPr>
        <w:rFonts w:ascii="Calibri Light" w:hAnsi="Calibri Light"/>
        <w:b/>
        <w:color w:val="A6A6A6"/>
        <w:sz w:val="20"/>
        <w:szCs w:val="20"/>
        <w:lang w:val="es-ES"/>
      </w:rPr>
      <w:fldChar w:fldCharType="begin"/>
    </w:r>
    <w:r w:rsidRPr="0031722E">
      <w:rPr>
        <w:rFonts w:ascii="Calibri Light" w:hAnsi="Calibri Light"/>
        <w:b/>
        <w:color w:val="A6A6A6"/>
        <w:sz w:val="20"/>
        <w:szCs w:val="20"/>
        <w:lang w:val="es-ES"/>
      </w:rPr>
      <w:instrText xml:space="preserve"> NUMPAGES  </w:instrText>
    </w:r>
    <w:r w:rsidRPr="0031722E">
      <w:rPr>
        <w:rFonts w:ascii="Calibri Light" w:hAnsi="Calibri Light"/>
        <w:b/>
        <w:color w:val="A6A6A6"/>
        <w:sz w:val="20"/>
        <w:szCs w:val="20"/>
        <w:lang w:val="es-ES"/>
      </w:rPr>
      <w:fldChar w:fldCharType="separate"/>
    </w:r>
    <w:r w:rsidR="00EC1CF7">
      <w:rPr>
        <w:rFonts w:ascii="Calibri Light" w:hAnsi="Calibri Light"/>
        <w:b/>
        <w:noProof/>
        <w:color w:val="A6A6A6"/>
        <w:sz w:val="20"/>
        <w:szCs w:val="20"/>
        <w:lang w:val="es-ES"/>
      </w:rPr>
      <w:t>35</w:t>
    </w:r>
    <w:r w:rsidRPr="0031722E">
      <w:rPr>
        <w:rFonts w:ascii="Calibri Light" w:hAnsi="Calibri Light"/>
        <w:b/>
        <w:color w:val="A6A6A6"/>
        <w:sz w:val="20"/>
        <w:szCs w:val="20"/>
        <w:lang w:val="es-MX"/>
      </w:rPr>
      <w:fldChar w:fldCharType="end"/>
    </w:r>
  </w:p>
  <w:p w14:paraId="2AAAD400" w14:textId="46176CA0" w:rsidR="009D0B78" w:rsidRDefault="009D0B78" w:rsidP="00DB1A27">
    <w:pPr>
      <w:pStyle w:val="Sinespaciado"/>
      <w:rPr>
        <w:rFonts w:ascii="Calibri Light" w:hAnsi="Calibri Light"/>
        <w:b/>
        <w:color w:val="A6A6A6"/>
        <w:sz w:val="20"/>
        <w:szCs w:val="20"/>
        <w:lang w:val="es-MX"/>
      </w:rPr>
    </w:pPr>
    <w:r>
      <w:rPr>
        <w:noProof/>
        <w:szCs w:val="16"/>
        <w:lang w:eastAsia="es-CO"/>
      </w:rPr>
      <mc:AlternateContent>
        <mc:Choice Requires="wps">
          <w:drawing>
            <wp:anchor distT="0" distB="0" distL="114300" distR="114300" simplePos="0" relativeHeight="251663360" behindDoc="0" locked="0" layoutInCell="1" allowOverlap="1" wp14:anchorId="234353D5" wp14:editId="2BED3503">
              <wp:simplePos x="0" y="0"/>
              <wp:positionH relativeFrom="column">
                <wp:posOffset>1243965</wp:posOffset>
              </wp:positionH>
              <wp:positionV relativeFrom="paragraph">
                <wp:posOffset>94615</wp:posOffset>
              </wp:positionV>
              <wp:extent cx="3209290" cy="815975"/>
              <wp:effectExtent l="0" t="0" r="4445" b="3810"/>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815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E972" w14:textId="77777777" w:rsidR="009D0B78" w:rsidRPr="008336D2" w:rsidRDefault="009D0B78" w:rsidP="00DB1A27">
                          <w:pPr>
                            <w:jc w:val="center"/>
                            <w:rPr>
                              <w:rFonts w:ascii="Arial" w:hAnsi="Arial" w:cs="Arial"/>
                              <w:b/>
                              <w:color w:val="000000"/>
                              <w:sz w:val="18"/>
                              <w:szCs w:val="18"/>
                            </w:rPr>
                          </w:pPr>
                          <w:r w:rsidRPr="008336D2">
                            <w:rPr>
                              <w:rFonts w:ascii="Arial" w:hAnsi="Arial" w:cs="Arial"/>
                              <w:b/>
                              <w:color w:val="000000"/>
                              <w:sz w:val="18"/>
                              <w:szCs w:val="18"/>
                            </w:rPr>
                            <w:t>Superintendencia de Notariado y Registro</w:t>
                          </w:r>
                        </w:p>
                        <w:p w14:paraId="704F96CC" w14:textId="77777777" w:rsidR="009D0B78" w:rsidRDefault="009D0B78" w:rsidP="00DB1A27">
                          <w:pPr>
                            <w:jc w:val="center"/>
                            <w:rPr>
                              <w:rFonts w:ascii="Arial" w:hAnsi="Arial" w:cs="Arial"/>
                              <w:color w:val="000000"/>
                              <w:sz w:val="16"/>
                              <w:szCs w:val="16"/>
                            </w:rPr>
                          </w:pPr>
                          <w:r w:rsidRPr="008336D2">
                            <w:rPr>
                              <w:rFonts w:ascii="Arial" w:hAnsi="Arial" w:cs="Arial"/>
                              <w:color w:val="000000"/>
                              <w:sz w:val="16"/>
                              <w:szCs w:val="16"/>
                            </w:rPr>
                            <w:t>Calle 26 No. 13</w:t>
                          </w:r>
                          <w:r>
                            <w:rPr>
                              <w:rFonts w:ascii="Arial" w:hAnsi="Arial" w:cs="Arial"/>
                              <w:color w:val="000000"/>
                              <w:sz w:val="16"/>
                              <w:szCs w:val="16"/>
                            </w:rPr>
                            <w:t xml:space="preserve"> </w:t>
                          </w:r>
                          <w:r w:rsidRPr="008336D2">
                            <w:rPr>
                              <w:rFonts w:ascii="Arial" w:hAnsi="Arial" w:cs="Arial"/>
                              <w:color w:val="000000"/>
                              <w:sz w:val="16"/>
                              <w:szCs w:val="16"/>
                            </w:rPr>
                            <w:t>-</w:t>
                          </w:r>
                          <w:r>
                            <w:rPr>
                              <w:rFonts w:ascii="Arial" w:hAnsi="Arial" w:cs="Arial"/>
                              <w:color w:val="000000"/>
                              <w:sz w:val="16"/>
                              <w:szCs w:val="16"/>
                            </w:rPr>
                            <w:t xml:space="preserve"> </w:t>
                          </w:r>
                          <w:r w:rsidRPr="008336D2">
                            <w:rPr>
                              <w:rFonts w:ascii="Arial" w:hAnsi="Arial" w:cs="Arial"/>
                              <w:color w:val="000000"/>
                              <w:sz w:val="16"/>
                              <w:szCs w:val="16"/>
                            </w:rPr>
                            <w:t xml:space="preserve">49 </w:t>
                          </w:r>
                          <w:proofErr w:type="spellStart"/>
                          <w:r w:rsidRPr="008336D2">
                            <w:rPr>
                              <w:rFonts w:ascii="Arial" w:hAnsi="Arial" w:cs="Arial"/>
                              <w:color w:val="000000"/>
                              <w:sz w:val="16"/>
                              <w:szCs w:val="16"/>
                            </w:rPr>
                            <w:t>Int</w:t>
                          </w:r>
                          <w:proofErr w:type="spellEnd"/>
                          <w:r w:rsidRPr="008336D2">
                            <w:rPr>
                              <w:rFonts w:ascii="Arial" w:hAnsi="Arial" w:cs="Arial"/>
                              <w:color w:val="000000"/>
                              <w:sz w:val="16"/>
                              <w:szCs w:val="16"/>
                            </w:rPr>
                            <w:t>. 201</w:t>
                          </w:r>
                        </w:p>
                        <w:p w14:paraId="38590EE4" w14:textId="77777777" w:rsidR="009D0B78" w:rsidRPr="008336D2" w:rsidRDefault="009D0B78" w:rsidP="00DB1A27">
                          <w:pPr>
                            <w:jc w:val="center"/>
                            <w:rPr>
                              <w:rFonts w:ascii="Arial" w:hAnsi="Arial" w:cs="Arial"/>
                              <w:color w:val="000000"/>
                              <w:sz w:val="16"/>
                              <w:szCs w:val="16"/>
                            </w:rPr>
                          </w:pPr>
                          <w:r w:rsidRPr="008336D2">
                            <w:rPr>
                              <w:rFonts w:ascii="Arial" w:hAnsi="Arial" w:cs="Arial"/>
                              <w:color w:val="000000"/>
                              <w:sz w:val="16"/>
                              <w:szCs w:val="16"/>
                            </w:rPr>
                            <w:t xml:space="preserve">PBX </w:t>
                          </w:r>
                          <w:r>
                            <w:rPr>
                              <w:rFonts w:ascii="Arial" w:hAnsi="Arial" w:cs="Arial"/>
                              <w:color w:val="000000"/>
                              <w:sz w:val="16"/>
                              <w:szCs w:val="16"/>
                            </w:rPr>
                            <w:t xml:space="preserve">57 + </w:t>
                          </w:r>
                          <w:r w:rsidRPr="008336D2">
                            <w:rPr>
                              <w:rFonts w:ascii="Arial" w:hAnsi="Arial" w:cs="Arial"/>
                              <w:color w:val="000000"/>
                              <w:sz w:val="16"/>
                              <w:szCs w:val="16"/>
                            </w:rPr>
                            <w:t>(1)</w:t>
                          </w:r>
                          <w:r>
                            <w:rPr>
                              <w:rFonts w:ascii="Arial" w:hAnsi="Arial" w:cs="Arial"/>
                              <w:color w:val="000000"/>
                              <w:sz w:val="16"/>
                              <w:szCs w:val="16"/>
                            </w:rPr>
                            <w:t xml:space="preserve"> </w:t>
                          </w:r>
                          <w:r w:rsidRPr="008336D2">
                            <w:rPr>
                              <w:rFonts w:ascii="Arial" w:hAnsi="Arial" w:cs="Arial"/>
                              <w:color w:val="000000"/>
                              <w:sz w:val="16"/>
                              <w:szCs w:val="16"/>
                            </w:rPr>
                            <w:t>3282121</w:t>
                          </w:r>
                        </w:p>
                        <w:p w14:paraId="4B9D0131" w14:textId="77777777" w:rsidR="009D0B78" w:rsidRPr="008336D2" w:rsidRDefault="009D0B78" w:rsidP="00DB1A27">
                          <w:pPr>
                            <w:jc w:val="center"/>
                            <w:rPr>
                              <w:rFonts w:ascii="Arial" w:hAnsi="Arial" w:cs="Arial"/>
                              <w:color w:val="000000"/>
                              <w:sz w:val="16"/>
                              <w:szCs w:val="16"/>
                            </w:rPr>
                          </w:pPr>
                          <w:r w:rsidRPr="008336D2">
                            <w:rPr>
                              <w:rFonts w:ascii="Arial" w:hAnsi="Arial" w:cs="Arial"/>
                              <w:color w:val="000000"/>
                              <w:sz w:val="16"/>
                              <w:szCs w:val="16"/>
                            </w:rPr>
                            <w:t>Bogotá D.C.</w:t>
                          </w:r>
                          <w:proofErr w:type="gramStart"/>
                          <w:r w:rsidRPr="008336D2">
                            <w:rPr>
                              <w:rFonts w:ascii="Arial" w:hAnsi="Arial" w:cs="Arial"/>
                              <w:color w:val="000000"/>
                              <w:sz w:val="16"/>
                              <w:szCs w:val="16"/>
                            </w:rPr>
                            <w:t>,  -</w:t>
                          </w:r>
                          <w:proofErr w:type="gramEnd"/>
                          <w:r w:rsidRPr="008336D2">
                            <w:rPr>
                              <w:rFonts w:ascii="Arial" w:hAnsi="Arial" w:cs="Arial"/>
                              <w:color w:val="000000"/>
                              <w:sz w:val="16"/>
                              <w:szCs w:val="16"/>
                            </w:rPr>
                            <w:t xml:space="preserve"> Colombia</w:t>
                          </w:r>
                        </w:p>
                        <w:p w14:paraId="61438FC3" w14:textId="77777777" w:rsidR="009D0B78" w:rsidRPr="008336D2" w:rsidRDefault="006D5126" w:rsidP="00DB1A27">
                          <w:pPr>
                            <w:jc w:val="center"/>
                            <w:rPr>
                              <w:rFonts w:ascii="Arial" w:hAnsi="Arial" w:cs="Arial"/>
                              <w:color w:val="000000"/>
                            </w:rPr>
                          </w:pPr>
                          <w:hyperlink r:id="rId1" w:history="1">
                            <w:r w:rsidR="009D0B78" w:rsidRPr="008336D2">
                              <w:rPr>
                                <w:rStyle w:val="Hipervnculo"/>
                                <w:rFonts w:cs="Arial"/>
                                <w:color w:val="000000"/>
                                <w:sz w:val="16"/>
                                <w:szCs w:val="16"/>
                              </w:rPr>
                              <w:t>http://www.supernotariado.gov.co</w:t>
                            </w:r>
                          </w:hyperlink>
                          <w:r w:rsidR="009D0B78" w:rsidRPr="008336D2">
                            <w:rPr>
                              <w:rFonts w:ascii="Arial" w:hAnsi="Arial" w:cs="Arial"/>
                              <w:color w:val="000000"/>
                              <w:sz w:val="16"/>
                              <w:szCs w:val="16"/>
                            </w:rPr>
                            <w:br/>
                          </w:r>
                          <w:r w:rsidR="009D0B78" w:rsidRPr="008336D2">
                            <w:rPr>
                              <w:rFonts w:ascii="Arial" w:hAnsi="Arial" w:cs="Arial"/>
                              <w:color w:val="000000"/>
                              <w:sz w:val="16"/>
                              <w:szCs w:val="16"/>
                              <w:lang w:val="es-CO"/>
                            </w:rPr>
                            <w:t>correspondencia@supernotariado.gov.co</w:t>
                          </w:r>
                        </w:p>
                        <w:p w14:paraId="77EF194F" w14:textId="77777777" w:rsidR="009D0B78" w:rsidRPr="008336D2" w:rsidRDefault="009D0B78" w:rsidP="00DB1A27">
                          <w:pPr>
                            <w:jc w:val="center"/>
                            <w:rPr>
                              <w:rFonts w:ascii="Arial" w:hAnsi="Arial" w:cs="Arial"/>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34353D5" id="_x0000_t202" coordsize="21600,21600" o:spt="202" path="m,l,21600r21600,l21600,xe">
              <v:stroke joinstyle="miter"/>
              <v:path gradientshapeok="t" o:connecttype="rect"/>
            </v:shapetype>
            <v:shape id="Cuadro de texto 7" o:spid="_x0000_s1026" type="#_x0000_t202" style="position:absolute;margin-left:97.95pt;margin-top:7.45pt;width:252.7pt;height:64.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" filled="f" stroked="f">
              <v:textbox>
                <w:txbxContent>
                  <w:p w14:paraId="68F3E972" w14:textId="77777777" w:rsidR="009D0B78" w:rsidRPr="008336D2" w:rsidRDefault="009D0B78" w:rsidP="00DB1A27">
                    <w:pPr>
                      <w:jc w:val="center"/>
                      <w:rPr>
                        <w:rFonts w:ascii="Arial" w:hAnsi="Arial" w:cs="Arial"/>
                        <w:b/>
                        <w:color w:val="000000"/>
                        <w:sz w:val="18"/>
                        <w:szCs w:val="18"/>
                      </w:rPr>
                    </w:pPr>
                    <w:r w:rsidRPr="008336D2">
                      <w:rPr>
                        <w:rFonts w:ascii="Arial" w:hAnsi="Arial" w:cs="Arial"/>
                        <w:b/>
                        <w:color w:val="000000"/>
                        <w:sz w:val="18"/>
                        <w:szCs w:val="18"/>
                      </w:rPr>
                      <w:t>Superintendencia de Notariado y Registro</w:t>
                    </w:r>
                  </w:p>
                  <w:p w14:paraId="704F96CC" w14:textId="77777777" w:rsidR="009D0B78" w:rsidRDefault="009D0B78" w:rsidP="00DB1A27">
                    <w:pPr>
                      <w:jc w:val="center"/>
                      <w:rPr>
                        <w:rFonts w:ascii="Arial" w:hAnsi="Arial" w:cs="Arial"/>
                        <w:color w:val="000000"/>
                        <w:sz w:val="16"/>
                        <w:szCs w:val="16"/>
                      </w:rPr>
                    </w:pPr>
                    <w:r w:rsidRPr="008336D2">
                      <w:rPr>
                        <w:rFonts w:ascii="Arial" w:hAnsi="Arial" w:cs="Arial"/>
                        <w:color w:val="000000"/>
                        <w:sz w:val="16"/>
                        <w:szCs w:val="16"/>
                      </w:rPr>
                      <w:t>Calle 26 No. 13</w:t>
                    </w:r>
                    <w:r>
                      <w:rPr>
                        <w:rFonts w:ascii="Arial" w:hAnsi="Arial" w:cs="Arial"/>
                        <w:color w:val="000000"/>
                        <w:sz w:val="16"/>
                        <w:szCs w:val="16"/>
                      </w:rPr>
                      <w:t xml:space="preserve"> </w:t>
                    </w:r>
                    <w:r w:rsidRPr="008336D2">
                      <w:rPr>
                        <w:rFonts w:ascii="Arial" w:hAnsi="Arial" w:cs="Arial"/>
                        <w:color w:val="000000"/>
                        <w:sz w:val="16"/>
                        <w:szCs w:val="16"/>
                      </w:rPr>
                      <w:t>-</w:t>
                    </w:r>
                    <w:r>
                      <w:rPr>
                        <w:rFonts w:ascii="Arial" w:hAnsi="Arial" w:cs="Arial"/>
                        <w:color w:val="000000"/>
                        <w:sz w:val="16"/>
                        <w:szCs w:val="16"/>
                      </w:rPr>
                      <w:t xml:space="preserve"> </w:t>
                    </w:r>
                    <w:r w:rsidRPr="008336D2">
                      <w:rPr>
                        <w:rFonts w:ascii="Arial" w:hAnsi="Arial" w:cs="Arial"/>
                        <w:color w:val="000000"/>
                        <w:sz w:val="16"/>
                        <w:szCs w:val="16"/>
                      </w:rPr>
                      <w:t xml:space="preserve">49 </w:t>
                    </w:r>
                    <w:proofErr w:type="spellStart"/>
                    <w:r w:rsidRPr="008336D2">
                      <w:rPr>
                        <w:rFonts w:ascii="Arial" w:hAnsi="Arial" w:cs="Arial"/>
                        <w:color w:val="000000"/>
                        <w:sz w:val="16"/>
                        <w:szCs w:val="16"/>
                      </w:rPr>
                      <w:t>Int</w:t>
                    </w:r>
                    <w:proofErr w:type="spellEnd"/>
                    <w:r w:rsidRPr="008336D2">
                      <w:rPr>
                        <w:rFonts w:ascii="Arial" w:hAnsi="Arial" w:cs="Arial"/>
                        <w:color w:val="000000"/>
                        <w:sz w:val="16"/>
                        <w:szCs w:val="16"/>
                      </w:rPr>
                      <w:t>. 201</w:t>
                    </w:r>
                  </w:p>
                  <w:p w14:paraId="38590EE4" w14:textId="77777777" w:rsidR="009D0B78" w:rsidRPr="008336D2" w:rsidRDefault="009D0B78" w:rsidP="00DB1A27">
                    <w:pPr>
                      <w:jc w:val="center"/>
                      <w:rPr>
                        <w:rFonts w:ascii="Arial" w:hAnsi="Arial" w:cs="Arial"/>
                        <w:color w:val="000000"/>
                        <w:sz w:val="16"/>
                        <w:szCs w:val="16"/>
                      </w:rPr>
                    </w:pPr>
                    <w:r w:rsidRPr="008336D2">
                      <w:rPr>
                        <w:rFonts w:ascii="Arial" w:hAnsi="Arial" w:cs="Arial"/>
                        <w:color w:val="000000"/>
                        <w:sz w:val="16"/>
                        <w:szCs w:val="16"/>
                      </w:rPr>
                      <w:t xml:space="preserve">PBX </w:t>
                    </w:r>
                    <w:r>
                      <w:rPr>
                        <w:rFonts w:ascii="Arial" w:hAnsi="Arial" w:cs="Arial"/>
                        <w:color w:val="000000"/>
                        <w:sz w:val="16"/>
                        <w:szCs w:val="16"/>
                      </w:rPr>
                      <w:t xml:space="preserve">57 + </w:t>
                    </w:r>
                    <w:r w:rsidRPr="008336D2">
                      <w:rPr>
                        <w:rFonts w:ascii="Arial" w:hAnsi="Arial" w:cs="Arial"/>
                        <w:color w:val="000000"/>
                        <w:sz w:val="16"/>
                        <w:szCs w:val="16"/>
                      </w:rPr>
                      <w:t>(1)</w:t>
                    </w:r>
                    <w:r>
                      <w:rPr>
                        <w:rFonts w:ascii="Arial" w:hAnsi="Arial" w:cs="Arial"/>
                        <w:color w:val="000000"/>
                        <w:sz w:val="16"/>
                        <w:szCs w:val="16"/>
                      </w:rPr>
                      <w:t xml:space="preserve"> </w:t>
                    </w:r>
                    <w:r w:rsidRPr="008336D2">
                      <w:rPr>
                        <w:rFonts w:ascii="Arial" w:hAnsi="Arial" w:cs="Arial"/>
                        <w:color w:val="000000"/>
                        <w:sz w:val="16"/>
                        <w:szCs w:val="16"/>
                      </w:rPr>
                      <w:t>3282121</w:t>
                    </w:r>
                  </w:p>
                  <w:p w14:paraId="4B9D0131" w14:textId="77777777" w:rsidR="009D0B78" w:rsidRPr="008336D2" w:rsidRDefault="009D0B78" w:rsidP="00DB1A27">
                    <w:pPr>
                      <w:jc w:val="center"/>
                      <w:rPr>
                        <w:rFonts w:ascii="Arial" w:hAnsi="Arial" w:cs="Arial"/>
                        <w:color w:val="000000"/>
                        <w:sz w:val="16"/>
                        <w:szCs w:val="16"/>
                      </w:rPr>
                    </w:pPr>
                    <w:r w:rsidRPr="008336D2">
                      <w:rPr>
                        <w:rFonts w:ascii="Arial" w:hAnsi="Arial" w:cs="Arial"/>
                        <w:color w:val="000000"/>
                        <w:sz w:val="16"/>
                        <w:szCs w:val="16"/>
                      </w:rPr>
                      <w:t>Bogotá D.C.</w:t>
                    </w:r>
                    <w:proofErr w:type="gramStart"/>
                    <w:r w:rsidRPr="008336D2">
                      <w:rPr>
                        <w:rFonts w:ascii="Arial" w:hAnsi="Arial" w:cs="Arial"/>
                        <w:color w:val="000000"/>
                        <w:sz w:val="16"/>
                        <w:szCs w:val="16"/>
                      </w:rPr>
                      <w:t>,  -</w:t>
                    </w:r>
                    <w:proofErr w:type="gramEnd"/>
                    <w:r w:rsidRPr="008336D2">
                      <w:rPr>
                        <w:rFonts w:ascii="Arial" w:hAnsi="Arial" w:cs="Arial"/>
                        <w:color w:val="000000"/>
                        <w:sz w:val="16"/>
                        <w:szCs w:val="16"/>
                      </w:rPr>
                      <w:t xml:space="preserve"> Colombia</w:t>
                    </w:r>
                  </w:p>
                  <w:p w14:paraId="61438FC3" w14:textId="77777777" w:rsidR="009D0B78" w:rsidRPr="008336D2" w:rsidRDefault="009D0B78" w:rsidP="00DB1A27">
                    <w:pPr>
                      <w:jc w:val="center"/>
                      <w:rPr>
                        <w:rFonts w:ascii="Arial" w:hAnsi="Arial" w:cs="Arial"/>
                        <w:color w:val="000000"/>
                      </w:rPr>
                    </w:pPr>
                    <w:hyperlink r:id="rId2" w:history="1">
                      <w:r w:rsidRPr="008336D2">
                        <w:rPr>
                          <w:rStyle w:val="Hipervnculo"/>
                          <w:rFonts w:cs="Arial"/>
                          <w:color w:val="000000"/>
                          <w:sz w:val="16"/>
                          <w:szCs w:val="16"/>
                        </w:rPr>
                        <w:t>http://www.supernotariado.gov.co</w:t>
                      </w:r>
                    </w:hyperlink>
                    <w:r w:rsidRPr="008336D2">
                      <w:rPr>
                        <w:rFonts w:ascii="Arial" w:hAnsi="Arial" w:cs="Arial"/>
                        <w:color w:val="000000"/>
                        <w:sz w:val="16"/>
                        <w:szCs w:val="16"/>
                      </w:rPr>
                      <w:br/>
                    </w:r>
                    <w:r w:rsidRPr="008336D2">
                      <w:rPr>
                        <w:rFonts w:ascii="Arial" w:hAnsi="Arial" w:cs="Arial"/>
                        <w:color w:val="000000"/>
                        <w:sz w:val="16"/>
                        <w:szCs w:val="16"/>
                        <w:lang w:val="es-CO"/>
                      </w:rPr>
                      <w:t>correspondencia@supernotariado.gov.co</w:t>
                    </w:r>
                  </w:p>
                  <w:p w14:paraId="77EF194F" w14:textId="77777777" w:rsidR="009D0B78" w:rsidRPr="008336D2" w:rsidRDefault="009D0B78" w:rsidP="00DB1A27">
                    <w:pPr>
                      <w:jc w:val="center"/>
                      <w:rPr>
                        <w:rFonts w:ascii="Arial" w:hAnsi="Arial" w:cs="Arial"/>
                        <w:color w:val="000000"/>
                      </w:rPr>
                    </w:pPr>
                  </w:p>
                </w:txbxContent>
              </v:textbox>
            </v:shape>
          </w:pict>
        </mc:Fallback>
      </mc:AlternateContent>
    </w:r>
  </w:p>
  <w:p w14:paraId="7693D7D7" w14:textId="77777777" w:rsidR="009D0B78" w:rsidRDefault="009D0B78" w:rsidP="00DB1A27">
    <w:pPr>
      <w:pStyle w:val="Sinespaciado"/>
      <w:rPr>
        <w:rFonts w:ascii="Calibri Light" w:hAnsi="Calibri Light"/>
        <w:b/>
        <w:color w:val="A6A6A6"/>
        <w:sz w:val="20"/>
        <w:szCs w:val="20"/>
        <w:lang w:val="es-MX"/>
      </w:rPr>
    </w:pPr>
  </w:p>
  <w:p w14:paraId="20CC5D20" w14:textId="77777777" w:rsidR="009D0B78" w:rsidRDefault="009D0B78" w:rsidP="00DB1A27">
    <w:pPr>
      <w:pStyle w:val="Sinespaciado"/>
      <w:rPr>
        <w:rFonts w:ascii="Calibri Light" w:hAnsi="Calibri Light"/>
        <w:b/>
        <w:color w:val="808080"/>
        <w:sz w:val="20"/>
        <w:szCs w:val="20"/>
        <w:lang w:val="es-MX"/>
      </w:rPr>
    </w:pPr>
    <w:r>
      <w:rPr>
        <w:rFonts w:ascii="Calibri Light" w:hAnsi="Calibri Light"/>
        <w:b/>
        <w:color w:val="808080"/>
        <w:sz w:val="20"/>
        <w:szCs w:val="20"/>
        <w:lang w:val="es-MX"/>
      </w:rPr>
      <w:t>Código:</w:t>
    </w:r>
  </w:p>
  <w:p w14:paraId="5B1D5E94" w14:textId="77777777" w:rsidR="009D0B78" w:rsidRDefault="009D0B78" w:rsidP="00DB1A27">
    <w:pPr>
      <w:pStyle w:val="Sinespaciado"/>
      <w:rPr>
        <w:rFonts w:ascii="Calibri Light" w:hAnsi="Calibri Light"/>
        <w:b/>
        <w:color w:val="808080"/>
        <w:sz w:val="20"/>
        <w:szCs w:val="20"/>
        <w:lang w:val="es-MX"/>
      </w:rPr>
    </w:pPr>
    <w:r w:rsidRPr="00F37C45">
      <w:rPr>
        <w:rFonts w:ascii="Calibri Light" w:hAnsi="Calibri Light"/>
        <w:b/>
        <w:color w:val="808080"/>
        <w:sz w:val="20"/>
        <w:szCs w:val="20"/>
        <w:lang w:val="es-MX"/>
      </w:rPr>
      <w:t xml:space="preserve">CNEA - PO - 02 - FR </w:t>
    </w:r>
    <w:r>
      <w:rPr>
        <w:rFonts w:ascii="Calibri Light" w:hAnsi="Calibri Light"/>
        <w:b/>
        <w:color w:val="808080"/>
        <w:sz w:val="20"/>
        <w:szCs w:val="20"/>
        <w:lang w:val="es-MX"/>
      </w:rPr>
      <w:t>–</w:t>
    </w:r>
    <w:r w:rsidRPr="00F37C45">
      <w:rPr>
        <w:rFonts w:ascii="Calibri Light" w:hAnsi="Calibri Light"/>
        <w:b/>
        <w:color w:val="808080"/>
        <w:sz w:val="20"/>
        <w:szCs w:val="20"/>
        <w:lang w:val="es-MX"/>
      </w:rPr>
      <w:t xml:space="preserve"> 0</w:t>
    </w:r>
    <w:r>
      <w:rPr>
        <w:rFonts w:ascii="Calibri Light" w:hAnsi="Calibri Light"/>
        <w:b/>
        <w:color w:val="808080"/>
        <w:sz w:val="20"/>
        <w:szCs w:val="20"/>
        <w:lang w:val="es-MX"/>
      </w:rPr>
      <w:t>7</w:t>
    </w:r>
  </w:p>
  <w:p w14:paraId="10C23853" w14:textId="77777777" w:rsidR="009D0B78" w:rsidRDefault="009D0B78" w:rsidP="00DB1A27">
    <w:pPr>
      <w:pStyle w:val="Sinespaciado"/>
      <w:rPr>
        <w:rFonts w:ascii="Calibri Light" w:hAnsi="Calibri Light"/>
        <w:b/>
        <w:color w:val="808080"/>
        <w:sz w:val="20"/>
        <w:szCs w:val="20"/>
        <w:lang w:val="es-MX"/>
      </w:rPr>
    </w:pPr>
    <w:r>
      <w:rPr>
        <w:rFonts w:ascii="Calibri Light" w:hAnsi="Calibri Light"/>
        <w:b/>
        <w:color w:val="808080"/>
        <w:sz w:val="20"/>
        <w:szCs w:val="20"/>
        <w:lang w:val="es-MX"/>
      </w:rPr>
      <w:t>03 – 12 - 2020</w:t>
    </w:r>
  </w:p>
  <w:p w14:paraId="18DA977A" w14:textId="77777777" w:rsidR="009D0B78" w:rsidRDefault="009D0B78"/>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8C6AE3" w14:textId="77777777" w:rsidR="006D5126" w:rsidRDefault="006D5126">
      <w:r>
        <w:separator/>
      </w:r>
    </w:p>
  </w:footnote>
  <w:footnote w:type="continuationSeparator" w:id="0">
    <w:p w14:paraId="141E304B" w14:textId="77777777" w:rsidR="006D5126" w:rsidRDefault="006D512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4ACC4E" w14:textId="69BB2777" w:rsidR="009D0B78" w:rsidRDefault="009D0B78" w:rsidP="00DB1A27">
    <w:pPr>
      <w:pStyle w:val="Piedepgina"/>
      <w:tabs>
        <w:tab w:val="left" w:pos="3630"/>
        <w:tab w:val="left" w:pos="4671"/>
        <w:tab w:val="left" w:pos="5940"/>
      </w:tabs>
    </w:pPr>
    <w:r>
      <w:t xml:space="preserve">                                                                                                  </w:t>
    </w:r>
    <w:r w:rsidRPr="00C75AC2">
      <w:rPr>
        <w:noProof/>
        <w:lang w:val="es-CO" w:eastAsia="es-CO"/>
      </w:rPr>
      <w:drawing>
        <wp:inline distT="0" distB="0" distL="0" distR="0" wp14:anchorId="2BB35EDB" wp14:editId="2FB017E2">
          <wp:extent cx="2171700" cy="419100"/>
          <wp:effectExtent l="0" t="0" r="0" b="0"/>
          <wp:docPr id="5" name="Imagen 5" descr="Recurso 24-10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curso 24-100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71700" cy="419100"/>
                  </a:xfrm>
                  <a:prstGeom prst="rect">
                    <a:avLst/>
                  </a:prstGeom>
                  <a:noFill/>
                  <a:ln>
                    <a:noFill/>
                  </a:ln>
                </pic:spPr>
              </pic:pic>
            </a:graphicData>
          </a:graphic>
        </wp:inline>
      </w:drawing>
    </w:r>
    <w:r>
      <w:rPr>
        <w:noProof/>
        <w:lang w:val="es-CO" w:eastAsia="es-CO"/>
      </w:rPr>
      <w:drawing>
        <wp:anchor distT="0" distB="0" distL="114300" distR="114300" simplePos="0" relativeHeight="251661312" behindDoc="1" locked="0" layoutInCell="1" allowOverlap="1" wp14:anchorId="066D571B" wp14:editId="297ADE9E">
          <wp:simplePos x="0" y="0"/>
          <wp:positionH relativeFrom="column">
            <wp:posOffset>-89535</wp:posOffset>
          </wp:positionH>
          <wp:positionV relativeFrom="paragraph">
            <wp:posOffset>-99695</wp:posOffset>
          </wp:positionV>
          <wp:extent cx="1657350" cy="91948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57350" cy="91948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14:paraId="4EBEFA59" w14:textId="77777777" w:rsidR="009D0B78" w:rsidRDefault="009D0B78" w:rsidP="0007336F">
    <w:pPr>
      <w:pStyle w:val="Piedepgina"/>
      <w:tabs>
        <w:tab w:val="left" w:pos="5940"/>
      </w:tabs>
      <w:jc w:val="center"/>
    </w:pPr>
  </w:p>
  <w:p w14:paraId="0F970685" w14:textId="77777777" w:rsidR="009D0B78" w:rsidRDefault="009D0B78" w:rsidP="0007336F">
    <w:pPr>
      <w:pStyle w:val="Piedepgina"/>
      <w:tabs>
        <w:tab w:val="left" w:pos="5940"/>
      </w:tabs>
      <w:jc w:val="center"/>
    </w:pPr>
  </w:p>
  <w:p w14:paraId="2FE1DC28" w14:textId="77777777" w:rsidR="009D0B78" w:rsidRPr="00F643B1" w:rsidRDefault="009D0B78" w:rsidP="0007336F">
    <w:pPr>
      <w:pStyle w:val="Piedepgina"/>
      <w:tabs>
        <w:tab w:val="left" w:pos="5940"/>
      </w:tabs>
      <w:jc w:val="center"/>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1F3F3A3"/>
    <w:multiLevelType w:val="hybridMultilevel"/>
    <w:tmpl w:val="FFFFFFF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B0AB211"/>
    <w:multiLevelType w:val="hybridMultilevel"/>
    <w:tmpl w:val="FFFFFFF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5CFA69E"/>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ADDC3D7"/>
    <w:multiLevelType w:val="hybridMultilevel"/>
    <w:tmpl w:val="FFFFFFF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159F66A"/>
    <w:multiLevelType w:val="hybridMultilevel"/>
    <w:tmpl w:val="FFFFFFF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1874830"/>
    <w:multiLevelType w:val="hybridMultilevel"/>
    <w:tmpl w:val="A61C1E9E"/>
    <w:lvl w:ilvl="0" w:tplc="240A0017">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 w15:restartNumberingAfterBreak="0">
    <w:nsid w:val="03BC66D0"/>
    <w:multiLevelType w:val="hybridMultilevel"/>
    <w:tmpl w:val="2056D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591876"/>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CEF4C1D"/>
    <w:multiLevelType w:val="hybridMultilevel"/>
    <w:tmpl w:val="6A18B610"/>
    <w:lvl w:ilvl="0" w:tplc="07D4C464">
      <w:start w:val="1"/>
      <w:numFmt w:val="decimal"/>
      <w:lvlText w:val="%1."/>
      <w:lvlJc w:val="left"/>
      <w:pPr>
        <w:ind w:left="720" w:hanging="360"/>
      </w:pPr>
      <w:rPr>
        <w:rFonts w:hint="default"/>
        <w:b/>
        <w: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022161E"/>
    <w:multiLevelType w:val="hybridMultilevel"/>
    <w:tmpl w:val="794829F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10A19F6D"/>
    <w:multiLevelType w:val="hybridMultilevel"/>
    <w:tmpl w:val="FFFFFFF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127A0C3A"/>
    <w:multiLevelType w:val="hybridMultilevel"/>
    <w:tmpl w:val="D904EF1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1370562E"/>
    <w:multiLevelType w:val="hybridMultilevel"/>
    <w:tmpl w:val="A93E2E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3AD1159"/>
    <w:multiLevelType w:val="hybridMultilevel"/>
    <w:tmpl w:val="CB82D034"/>
    <w:lvl w:ilvl="0" w:tplc="16925044">
      <w:start w:val="1"/>
      <w:numFmt w:val="bullet"/>
      <w:lvlText w:val=""/>
      <w:lvlJc w:val="left"/>
      <w:pPr>
        <w:ind w:left="1440" w:hanging="360"/>
      </w:pPr>
      <w:rPr>
        <w:rFonts w:ascii="Symbol" w:eastAsia="Courier New" w:hAnsi="Symbol" w:cs="Aria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4" w15:restartNumberingAfterBreak="0">
    <w:nsid w:val="1E357D99"/>
    <w:multiLevelType w:val="hybridMultilevel"/>
    <w:tmpl w:val="54F80BE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05931C5"/>
    <w:multiLevelType w:val="multilevel"/>
    <w:tmpl w:val="86165DF8"/>
    <w:lvl w:ilvl="0">
      <w:start w:val="1"/>
      <w:numFmt w:val="decimal"/>
      <w:lvlText w:val="%1."/>
      <w:lvlJc w:val="left"/>
      <w:pPr>
        <w:ind w:left="720" w:hanging="360"/>
      </w:pPr>
      <w:rPr>
        <w:rFonts w:hint="default"/>
        <w:b/>
        <w:sz w:val="24"/>
        <w:szCs w:val="24"/>
      </w:rPr>
    </w:lvl>
    <w:lvl w:ilvl="1">
      <w:start w:val="1"/>
      <w:numFmt w:val="decimal"/>
      <w:isLgl/>
      <w:lvlText w:val="%1.%2."/>
      <w:lvlJc w:val="left"/>
      <w:pPr>
        <w:ind w:left="720" w:hanging="720"/>
      </w:pPr>
      <w:rPr>
        <w:rFonts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6" w15:restartNumberingAfterBreak="0">
    <w:nsid w:val="207F69DA"/>
    <w:multiLevelType w:val="hybridMultilevel"/>
    <w:tmpl w:val="2A36C314"/>
    <w:lvl w:ilvl="0" w:tplc="0188208E">
      <w:start w:val="1"/>
      <w:numFmt w:val="decimal"/>
      <w:lvlText w:val="%1."/>
      <w:lvlJc w:val="left"/>
      <w:pPr>
        <w:ind w:left="840" w:hanging="480"/>
      </w:pPr>
      <w:rPr>
        <w:rFonts w:eastAsia="Courier New" w:hint="default"/>
        <w:i/>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20858FC2"/>
    <w:multiLevelType w:val="hybridMultilevel"/>
    <w:tmpl w:val="FFFFFFF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09D66AB"/>
    <w:multiLevelType w:val="hybridMultilevel"/>
    <w:tmpl w:val="73BA1498"/>
    <w:lvl w:ilvl="0" w:tplc="133A1CBA">
      <w:start w:val="4"/>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9" w15:restartNumberingAfterBreak="0">
    <w:nsid w:val="22FD7692"/>
    <w:multiLevelType w:val="hybridMultilevel"/>
    <w:tmpl w:val="E1EA53C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2FC9655D"/>
    <w:multiLevelType w:val="hybridMultilevel"/>
    <w:tmpl w:val="48AE9126"/>
    <w:lvl w:ilvl="0" w:tplc="4BD23276">
      <w:start w:val="2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4962D1E"/>
    <w:multiLevelType w:val="multilevel"/>
    <w:tmpl w:val="347A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640DCE8"/>
    <w:multiLevelType w:val="hybridMultilevel"/>
    <w:tmpl w:val="FFFFFFF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3689666E"/>
    <w:multiLevelType w:val="multilevel"/>
    <w:tmpl w:val="CA8036F8"/>
    <w:lvl w:ilvl="0">
      <w:start w:val="2"/>
      <w:numFmt w:val="decimal"/>
      <w:lvlText w:val="%1"/>
      <w:lvlJc w:val="left"/>
      <w:pPr>
        <w:ind w:left="420" w:hanging="420"/>
      </w:pPr>
      <w:rPr>
        <w:rFonts w:hint="default"/>
        <w:b/>
      </w:rPr>
    </w:lvl>
    <w:lvl w:ilvl="1">
      <w:start w:val="16"/>
      <w:numFmt w:val="decimal"/>
      <w:lvlText w:val="%1.%2"/>
      <w:lvlJc w:val="left"/>
      <w:pPr>
        <w:ind w:left="634" w:hanging="420"/>
      </w:pPr>
      <w:rPr>
        <w:rFonts w:hint="default"/>
        <w:b/>
      </w:rPr>
    </w:lvl>
    <w:lvl w:ilvl="2">
      <w:start w:val="1"/>
      <w:numFmt w:val="decimal"/>
      <w:lvlText w:val="%1.%2.%3"/>
      <w:lvlJc w:val="left"/>
      <w:pPr>
        <w:ind w:left="1148" w:hanging="720"/>
      </w:pPr>
      <w:rPr>
        <w:rFonts w:hint="default"/>
        <w:b/>
      </w:rPr>
    </w:lvl>
    <w:lvl w:ilvl="3">
      <w:start w:val="1"/>
      <w:numFmt w:val="decimal"/>
      <w:lvlText w:val="%1.%2.%3.%4"/>
      <w:lvlJc w:val="left"/>
      <w:pPr>
        <w:ind w:left="1362" w:hanging="720"/>
      </w:pPr>
      <w:rPr>
        <w:rFonts w:hint="default"/>
        <w:b/>
      </w:rPr>
    </w:lvl>
    <w:lvl w:ilvl="4">
      <w:start w:val="1"/>
      <w:numFmt w:val="decimal"/>
      <w:lvlText w:val="%1.%2.%3.%4.%5"/>
      <w:lvlJc w:val="left"/>
      <w:pPr>
        <w:ind w:left="1936" w:hanging="1080"/>
      </w:pPr>
      <w:rPr>
        <w:rFonts w:hint="default"/>
        <w:b/>
      </w:rPr>
    </w:lvl>
    <w:lvl w:ilvl="5">
      <w:start w:val="1"/>
      <w:numFmt w:val="decimal"/>
      <w:lvlText w:val="%1.%2.%3.%4.%5.%6"/>
      <w:lvlJc w:val="left"/>
      <w:pPr>
        <w:ind w:left="2150" w:hanging="1080"/>
      </w:pPr>
      <w:rPr>
        <w:rFonts w:hint="default"/>
        <w:b/>
      </w:rPr>
    </w:lvl>
    <w:lvl w:ilvl="6">
      <w:start w:val="1"/>
      <w:numFmt w:val="decimal"/>
      <w:lvlText w:val="%1.%2.%3.%4.%5.%6.%7"/>
      <w:lvlJc w:val="left"/>
      <w:pPr>
        <w:ind w:left="2724" w:hanging="1440"/>
      </w:pPr>
      <w:rPr>
        <w:rFonts w:hint="default"/>
        <w:b/>
      </w:rPr>
    </w:lvl>
    <w:lvl w:ilvl="7">
      <w:start w:val="1"/>
      <w:numFmt w:val="decimal"/>
      <w:lvlText w:val="%1.%2.%3.%4.%5.%6.%7.%8"/>
      <w:lvlJc w:val="left"/>
      <w:pPr>
        <w:ind w:left="2938" w:hanging="1440"/>
      </w:pPr>
      <w:rPr>
        <w:rFonts w:hint="default"/>
        <w:b/>
      </w:rPr>
    </w:lvl>
    <w:lvl w:ilvl="8">
      <w:start w:val="1"/>
      <w:numFmt w:val="decimal"/>
      <w:lvlText w:val="%1.%2.%3.%4.%5.%6.%7.%8.%9"/>
      <w:lvlJc w:val="left"/>
      <w:pPr>
        <w:ind w:left="3512" w:hanging="1800"/>
      </w:pPr>
      <w:rPr>
        <w:rFonts w:hint="default"/>
        <w:b/>
      </w:rPr>
    </w:lvl>
  </w:abstractNum>
  <w:abstractNum w:abstractNumId="24" w15:restartNumberingAfterBreak="0">
    <w:nsid w:val="3C745D9C"/>
    <w:multiLevelType w:val="multilevel"/>
    <w:tmpl w:val="F766A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1A7CE4"/>
    <w:multiLevelType w:val="hybridMultilevel"/>
    <w:tmpl w:val="54581A06"/>
    <w:lvl w:ilvl="0" w:tplc="210E915E">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6" w15:restartNumberingAfterBreak="0">
    <w:nsid w:val="436D779B"/>
    <w:multiLevelType w:val="hybridMultilevel"/>
    <w:tmpl w:val="E0F6C1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1B2D45"/>
    <w:multiLevelType w:val="hybridMultilevel"/>
    <w:tmpl w:val="EDF80396"/>
    <w:lvl w:ilvl="0" w:tplc="8C1A5D20">
      <w:start w:val="1"/>
      <w:numFmt w:val="lowerLetter"/>
      <w:lvlText w:val="%1."/>
      <w:lvlJc w:val="left"/>
      <w:pPr>
        <w:ind w:left="1215" w:hanging="375"/>
      </w:pPr>
      <w:rPr>
        <w:rFonts w:hint="default"/>
      </w:rPr>
    </w:lvl>
    <w:lvl w:ilvl="1" w:tplc="240A0019" w:tentative="1">
      <w:start w:val="1"/>
      <w:numFmt w:val="lowerLetter"/>
      <w:lvlText w:val="%2."/>
      <w:lvlJc w:val="left"/>
      <w:pPr>
        <w:ind w:left="1920" w:hanging="360"/>
      </w:pPr>
    </w:lvl>
    <w:lvl w:ilvl="2" w:tplc="240A001B" w:tentative="1">
      <w:start w:val="1"/>
      <w:numFmt w:val="lowerRoman"/>
      <w:lvlText w:val="%3."/>
      <w:lvlJc w:val="right"/>
      <w:pPr>
        <w:ind w:left="2640" w:hanging="180"/>
      </w:pPr>
    </w:lvl>
    <w:lvl w:ilvl="3" w:tplc="240A000F" w:tentative="1">
      <w:start w:val="1"/>
      <w:numFmt w:val="decimal"/>
      <w:lvlText w:val="%4."/>
      <w:lvlJc w:val="left"/>
      <w:pPr>
        <w:ind w:left="3360" w:hanging="360"/>
      </w:pPr>
    </w:lvl>
    <w:lvl w:ilvl="4" w:tplc="240A0019" w:tentative="1">
      <w:start w:val="1"/>
      <w:numFmt w:val="lowerLetter"/>
      <w:lvlText w:val="%5."/>
      <w:lvlJc w:val="left"/>
      <w:pPr>
        <w:ind w:left="4080" w:hanging="360"/>
      </w:pPr>
    </w:lvl>
    <w:lvl w:ilvl="5" w:tplc="240A001B" w:tentative="1">
      <w:start w:val="1"/>
      <w:numFmt w:val="lowerRoman"/>
      <w:lvlText w:val="%6."/>
      <w:lvlJc w:val="right"/>
      <w:pPr>
        <w:ind w:left="4800" w:hanging="180"/>
      </w:pPr>
    </w:lvl>
    <w:lvl w:ilvl="6" w:tplc="240A000F" w:tentative="1">
      <w:start w:val="1"/>
      <w:numFmt w:val="decimal"/>
      <w:lvlText w:val="%7."/>
      <w:lvlJc w:val="left"/>
      <w:pPr>
        <w:ind w:left="5520" w:hanging="360"/>
      </w:pPr>
    </w:lvl>
    <w:lvl w:ilvl="7" w:tplc="240A0019" w:tentative="1">
      <w:start w:val="1"/>
      <w:numFmt w:val="lowerLetter"/>
      <w:lvlText w:val="%8."/>
      <w:lvlJc w:val="left"/>
      <w:pPr>
        <w:ind w:left="6240" w:hanging="360"/>
      </w:pPr>
    </w:lvl>
    <w:lvl w:ilvl="8" w:tplc="240A001B" w:tentative="1">
      <w:start w:val="1"/>
      <w:numFmt w:val="lowerRoman"/>
      <w:lvlText w:val="%9."/>
      <w:lvlJc w:val="right"/>
      <w:pPr>
        <w:ind w:left="6960" w:hanging="180"/>
      </w:pPr>
    </w:lvl>
  </w:abstractNum>
  <w:abstractNum w:abstractNumId="28" w15:restartNumberingAfterBreak="0">
    <w:nsid w:val="4E10786F"/>
    <w:multiLevelType w:val="hybridMultilevel"/>
    <w:tmpl w:val="1132126C"/>
    <w:lvl w:ilvl="0" w:tplc="B332271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E5E38C0"/>
    <w:multiLevelType w:val="hybridMultilevel"/>
    <w:tmpl w:val="A390739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0" w15:restartNumberingAfterBreak="0">
    <w:nsid w:val="4F4A797E"/>
    <w:multiLevelType w:val="hybridMultilevel"/>
    <w:tmpl w:val="FFFFFFFF"/>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56442822"/>
    <w:multiLevelType w:val="hybridMultilevel"/>
    <w:tmpl w:val="EC1A4D24"/>
    <w:lvl w:ilvl="0" w:tplc="0F2A2550">
      <w:start w:val="5"/>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5A426376"/>
    <w:multiLevelType w:val="hybridMultilevel"/>
    <w:tmpl w:val="4CF6EB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5AB1438F"/>
    <w:multiLevelType w:val="hybridMultilevel"/>
    <w:tmpl w:val="FFFFFFF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5F1903CB"/>
    <w:multiLevelType w:val="hybridMultilevel"/>
    <w:tmpl w:val="A20AC174"/>
    <w:lvl w:ilvl="0" w:tplc="EEE0A98A">
      <w:start w:val="11"/>
      <w:numFmt w:val="bullet"/>
      <w:lvlText w:val=""/>
      <w:lvlJc w:val="left"/>
      <w:pPr>
        <w:ind w:left="720" w:hanging="360"/>
      </w:pPr>
      <w:rPr>
        <w:rFonts w:ascii="Symbol" w:eastAsia="Courier New"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1BC2EB0"/>
    <w:multiLevelType w:val="hybridMultilevel"/>
    <w:tmpl w:val="39FCC942"/>
    <w:lvl w:ilvl="0" w:tplc="E4F06CBC">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640446BC"/>
    <w:multiLevelType w:val="hybridMultilevel"/>
    <w:tmpl w:val="DC9A916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6527681F"/>
    <w:multiLevelType w:val="multilevel"/>
    <w:tmpl w:val="9ACAC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6DE24EE"/>
    <w:multiLevelType w:val="hybridMultilevel"/>
    <w:tmpl w:val="E0EC65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678C233B"/>
    <w:multiLevelType w:val="hybridMultilevel"/>
    <w:tmpl w:val="C35085C8"/>
    <w:lvl w:ilvl="0" w:tplc="5AD8981A">
      <w:start w:val="20"/>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67F91907"/>
    <w:multiLevelType w:val="hybridMultilevel"/>
    <w:tmpl w:val="F4F26C1C"/>
    <w:lvl w:ilvl="0" w:tplc="8E2CD1D2">
      <w:start w:val="2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68CC27CB"/>
    <w:multiLevelType w:val="multilevel"/>
    <w:tmpl w:val="86165DF8"/>
    <w:lvl w:ilvl="0">
      <w:start w:val="1"/>
      <w:numFmt w:val="decimal"/>
      <w:lvlText w:val="%1."/>
      <w:lvlJc w:val="left"/>
      <w:pPr>
        <w:ind w:left="720" w:hanging="360"/>
      </w:pPr>
      <w:rPr>
        <w:rFonts w:hint="default"/>
        <w:b/>
        <w:sz w:val="24"/>
        <w:szCs w:val="24"/>
      </w:rPr>
    </w:lvl>
    <w:lvl w:ilvl="1">
      <w:start w:val="1"/>
      <w:numFmt w:val="decimal"/>
      <w:isLgl/>
      <w:lvlText w:val="%1.%2."/>
      <w:lvlJc w:val="left"/>
      <w:pPr>
        <w:ind w:left="720" w:hanging="720"/>
      </w:pPr>
      <w:rPr>
        <w:rFonts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2" w15:restartNumberingAfterBreak="0">
    <w:nsid w:val="70053E41"/>
    <w:multiLevelType w:val="hybridMultilevel"/>
    <w:tmpl w:val="0494F8C4"/>
    <w:lvl w:ilvl="0" w:tplc="57B2AD26">
      <w:numFmt w:val="bullet"/>
      <w:lvlText w:val="-"/>
      <w:lvlJc w:val="left"/>
      <w:pPr>
        <w:ind w:left="720" w:hanging="360"/>
      </w:pPr>
      <w:rPr>
        <w:rFonts w:ascii="Candara" w:eastAsia="Times New Roman" w:hAnsi="Candar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19710C3"/>
    <w:multiLevelType w:val="multilevel"/>
    <w:tmpl w:val="6E7E552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2D4127F"/>
    <w:multiLevelType w:val="hybridMultilevel"/>
    <w:tmpl w:val="FA46FC60"/>
    <w:lvl w:ilvl="0" w:tplc="B79EA930">
      <w:start w:val="1"/>
      <w:numFmt w:val="decimal"/>
      <w:lvlText w:val="%1."/>
      <w:lvlJc w:val="left"/>
      <w:pPr>
        <w:ind w:left="786"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33E73D6"/>
    <w:multiLevelType w:val="hybridMultilevel"/>
    <w:tmpl w:val="4404D2DA"/>
    <w:lvl w:ilvl="0" w:tplc="1738430A">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AB11C80"/>
    <w:multiLevelType w:val="hybridMultilevel"/>
    <w:tmpl w:val="133A1CB2"/>
    <w:lvl w:ilvl="0" w:tplc="741A9290">
      <w:start w:val="27"/>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7" w15:restartNumberingAfterBreak="0">
    <w:nsid w:val="7D7308F0"/>
    <w:multiLevelType w:val="hybridMultilevel"/>
    <w:tmpl w:val="1A8A725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7E205D0A"/>
    <w:multiLevelType w:val="multilevel"/>
    <w:tmpl w:val="417A5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9"/>
  </w:num>
  <w:num w:numId="3">
    <w:abstractNumId w:val="38"/>
  </w:num>
  <w:num w:numId="4">
    <w:abstractNumId w:val="9"/>
  </w:num>
  <w:num w:numId="5">
    <w:abstractNumId w:val="5"/>
  </w:num>
  <w:num w:numId="6">
    <w:abstractNumId w:val="25"/>
  </w:num>
  <w:num w:numId="7">
    <w:abstractNumId w:val="13"/>
  </w:num>
  <w:num w:numId="8">
    <w:abstractNumId w:val="8"/>
  </w:num>
  <w:num w:numId="9">
    <w:abstractNumId w:val="39"/>
  </w:num>
  <w:num w:numId="10">
    <w:abstractNumId w:val="34"/>
  </w:num>
  <w:num w:numId="11">
    <w:abstractNumId w:val="29"/>
  </w:num>
  <w:num w:numId="12">
    <w:abstractNumId w:val="23"/>
  </w:num>
  <w:num w:numId="13">
    <w:abstractNumId w:val="16"/>
  </w:num>
  <w:num w:numId="14">
    <w:abstractNumId w:val="27"/>
  </w:num>
  <w:num w:numId="15">
    <w:abstractNumId w:val="11"/>
  </w:num>
  <w:num w:numId="16">
    <w:abstractNumId w:val="20"/>
  </w:num>
  <w:num w:numId="17">
    <w:abstractNumId w:val="40"/>
  </w:num>
  <w:num w:numId="18">
    <w:abstractNumId w:val="46"/>
  </w:num>
  <w:num w:numId="19">
    <w:abstractNumId w:val="41"/>
  </w:num>
  <w:num w:numId="20">
    <w:abstractNumId w:val="26"/>
  </w:num>
  <w:num w:numId="21">
    <w:abstractNumId w:val="18"/>
  </w:num>
  <w:num w:numId="22">
    <w:abstractNumId w:val="35"/>
  </w:num>
  <w:num w:numId="23">
    <w:abstractNumId w:val="45"/>
  </w:num>
  <w:num w:numId="24">
    <w:abstractNumId w:val="28"/>
  </w:num>
  <w:num w:numId="25">
    <w:abstractNumId w:val="44"/>
  </w:num>
  <w:num w:numId="26">
    <w:abstractNumId w:val="42"/>
  </w:num>
  <w:num w:numId="27">
    <w:abstractNumId w:val="6"/>
  </w:num>
  <w:num w:numId="28">
    <w:abstractNumId w:val="30"/>
  </w:num>
  <w:num w:numId="29">
    <w:abstractNumId w:val="12"/>
  </w:num>
  <w:num w:numId="30">
    <w:abstractNumId w:val="36"/>
  </w:num>
  <w:num w:numId="31">
    <w:abstractNumId w:val="24"/>
  </w:num>
  <w:num w:numId="32">
    <w:abstractNumId w:val="17"/>
  </w:num>
  <w:num w:numId="33">
    <w:abstractNumId w:val="10"/>
  </w:num>
  <w:num w:numId="34">
    <w:abstractNumId w:val="33"/>
  </w:num>
  <w:num w:numId="35">
    <w:abstractNumId w:val="4"/>
  </w:num>
  <w:num w:numId="36">
    <w:abstractNumId w:val="22"/>
  </w:num>
  <w:num w:numId="37">
    <w:abstractNumId w:val="0"/>
  </w:num>
  <w:num w:numId="38">
    <w:abstractNumId w:val="1"/>
  </w:num>
  <w:num w:numId="39">
    <w:abstractNumId w:val="3"/>
  </w:num>
  <w:num w:numId="40">
    <w:abstractNumId w:val="2"/>
  </w:num>
  <w:num w:numId="41">
    <w:abstractNumId w:val="7"/>
  </w:num>
  <w:num w:numId="42">
    <w:abstractNumId w:val="47"/>
  </w:num>
  <w:num w:numId="43">
    <w:abstractNumId w:val="31"/>
  </w:num>
  <w:num w:numId="44">
    <w:abstractNumId w:val="14"/>
  </w:num>
  <w:num w:numId="45">
    <w:abstractNumId w:val="32"/>
  </w:num>
  <w:num w:numId="46">
    <w:abstractNumId w:val="48"/>
  </w:num>
  <w:num w:numId="47">
    <w:abstractNumId w:val="21"/>
  </w:num>
  <w:num w:numId="48">
    <w:abstractNumId w:val="37"/>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2342"/>
    <w:rsid w:val="00001BF7"/>
    <w:rsid w:val="000066E8"/>
    <w:rsid w:val="00006971"/>
    <w:rsid w:val="00041593"/>
    <w:rsid w:val="00043656"/>
    <w:rsid w:val="00046581"/>
    <w:rsid w:val="00056E2C"/>
    <w:rsid w:val="00061032"/>
    <w:rsid w:val="00061047"/>
    <w:rsid w:val="000652EA"/>
    <w:rsid w:val="00066156"/>
    <w:rsid w:val="00066270"/>
    <w:rsid w:val="0007336F"/>
    <w:rsid w:val="000807A8"/>
    <w:rsid w:val="000B6DC0"/>
    <w:rsid w:val="000B7480"/>
    <w:rsid w:val="000C3DAF"/>
    <w:rsid w:val="000D191E"/>
    <w:rsid w:val="000D4004"/>
    <w:rsid w:val="000D7FC5"/>
    <w:rsid w:val="000F3023"/>
    <w:rsid w:val="0010085A"/>
    <w:rsid w:val="00106D68"/>
    <w:rsid w:val="00113609"/>
    <w:rsid w:val="00113995"/>
    <w:rsid w:val="00122E84"/>
    <w:rsid w:val="001247CB"/>
    <w:rsid w:val="0014338B"/>
    <w:rsid w:val="0015141B"/>
    <w:rsid w:val="001638A9"/>
    <w:rsid w:val="00171FB0"/>
    <w:rsid w:val="00172919"/>
    <w:rsid w:val="00174B1F"/>
    <w:rsid w:val="00176DF8"/>
    <w:rsid w:val="00184213"/>
    <w:rsid w:val="0019482C"/>
    <w:rsid w:val="00195D71"/>
    <w:rsid w:val="001973A0"/>
    <w:rsid w:val="001A0FF6"/>
    <w:rsid w:val="001A48E3"/>
    <w:rsid w:val="001B7F5A"/>
    <w:rsid w:val="001C7324"/>
    <w:rsid w:val="001D408C"/>
    <w:rsid w:val="001D7440"/>
    <w:rsid w:val="001E640A"/>
    <w:rsid w:val="001E66EE"/>
    <w:rsid w:val="001F1FB6"/>
    <w:rsid w:val="002005FC"/>
    <w:rsid w:val="00210965"/>
    <w:rsid w:val="00213D94"/>
    <w:rsid w:val="00216C61"/>
    <w:rsid w:val="002337DB"/>
    <w:rsid w:val="00237A37"/>
    <w:rsid w:val="00241752"/>
    <w:rsid w:val="002504F4"/>
    <w:rsid w:val="00255E53"/>
    <w:rsid w:val="002563CE"/>
    <w:rsid w:val="00262ED2"/>
    <w:rsid w:val="0026516C"/>
    <w:rsid w:val="0027212B"/>
    <w:rsid w:val="002839FF"/>
    <w:rsid w:val="002866AD"/>
    <w:rsid w:val="00286731"/>
    <w:rsid w:val="002A1DFA"/>
    <w:rsid w:val="002A4E67"/>
    <w:rsid w:val="002A4F95"/>
    <w:rsid w:val="002A6356"/>
    <w:rsid w:val="002A7E65"/>
    <w:rsid w:val="002B496C"/>
    <w:rsid w:val="002B6001"/>
    <w:rsid w:val="002C77D5"/>
    <w:rsid w:val="002D68FD"/>
    <w:rsid w:val="002E17AF"/>
    <w:rsid w:val="002F1B59"/>
    <w:rsid w:val="002F2C81"/>
    <w:rsid w:val="002F483D"/>
    <w:rsid w:val="00301DC0"/>
    <w:rsid w:val="00302FB5"/>
    <w:rsid w:val="003050A9"/>
    <w:rsid w:val="00312568"/>
    <w:rsid w:val="00325370"/>
    <w:rsid w:val="0032748B"/>
    <w:rsid w:val="00331ED8"/>
    <w:rsid w:val="00345336"/>
    <w:rsid w:val="003459F3"/>
    <w:rsid w:val="00370A6E"/>
    <w:rsid w:val="0037522C"/>
    <w:rsid w:val="003759D3"/>
    <w:rsid w:val="00377565"/>
    <w:rsid w:val="00377AB6"/>
    <w:rsid w:val="00380569"/>
    <w:rsid w:val="003869BC"/>
    <w:rsid w:val="003935E3"/>
    <w:rsid w:val="003952DF"/>
    <w:rsid w:val="003A1EE9"/>
    <w:rsid w:val="003A6F97"/>
    <w:rsid w:val="003C10DF"/>
    <w:rsid w:val="003C2D06"/>
    <w:rsid w:val="003F5823"/>
    <w:rsid w:val="00404C34"/>
    <w:rsid w:val="0040515F"/>
    <w:rsid w:val="0041178D"/>
    <w:rsid w:val="00416698"/>
    <w:rsid w:val="00423E8E"/>
    <w:rsid w:val="00426D11"/>
    <w:rsid w:val="004327F3"/>
    <w:rsid w:val="00447FA7"/>
    <w:rsid w:val="004518A6"/>
    <w:rsid w:val="0045675F"/>
    <w:rsid w:val="004603A7"/>
    <w:rsid w:val="00461142"/>
    <w:rsid w:val="00465800"/>
    <w:rsid w:val="00476624"/>
    <w:rsid w:val="00481C50"/>
    <w:rsid w:val="004931B0"/>
    <w:rsid w:val="004949BF"/>
    <w:rsid w:val="00495ED2"/>
    <w:rsid w:val="0049632B"/>
    <w:rsid w:val="004A0BEA"/>
    <w:rsid w:val="004A5FD5"/>
    <w:rsid w:val="004A7A75"/>
    <w:rsid w:val="004B0406"/>
    <w:rsid w:val="004B0AB0"/>
    <w:rsid w:val="004B4F6A"/>
    <w:rsid w:val="004B65C1"/>
    <w:rsid w:val="004C51AC"/>
    <w:rsid w:val="004C553D"/>
    <w:rsid w:val="004C7E81"/>
    <w:rsid w:val="004D7B43"/>
    <w:rsid w:val="004E5810"/>
    <w:rsid w:val="004F42C5"/>
    <w:rsid w:val="004F4C11"/>
    <w:rsid w:val="004F4E68"/>
    <w:rsid w:val="004F75AD"/>
    <w:rsid w:val="00501D23"/>
    <w:rsid w:val="005134B4"/>
    <w:rsid w:val="00513987"/>
    <w:rsid w:val="00521AA7"/>
    <w:rsid w:val="00525DF1"/>
    <w:rsid w:val="00530EFC"/>
    <w:rsid w:val="00534467"/>
    <w:rsid w:val="00543B0F"/>
    <w:rsid w:val="00556E2F"/>
    <w:rsid w:val="00560A58"/>
    <w:rsid w:val="00561E29"/>
    <w:rsid w:val="00563D7C"/>
    <w:rsid w:val="005658A5"/>
    <w:rsid w:val="005775E3"/>
    <w:rsid w:val="00580A65"/>
    <w:rsid w:val="00583FF7"/>
    <w:rsid w:val="00592136"/>
    <w:rsid w:val="005921C9"/>
    <w:rsid w:val="005A0C2A"/>
    <w:rsid w:val="005A1CD4"/>
    <w:rsid w:val="005A417C"/>
    <w:rsid w:val="005B0D5F"/>
    <w:rsid w:val="005B5090"/>
    <w:rsid w:val="005C4556"/>
    <w:rsid w:val="005D1D95"/>
    <w:rsid w:val="005D2C78"/>
    <w:rsid w:val="00604DCB"/>
    <w:rsid w:val="0061774F"/>
    <w:rsid w:val="00624DBE"/>
    <w:rsid w:val="00630C83"/>
    <w:rsid w:val="006335E7"/>
    <w:rsid w:val="00634AA4"/>
    <w:rsid w:val="00636E72"/>
    <w:rsid w:val="0065139A"/>
    <w:rsid w:val="00656D84"/>
    <w:rsid w:val="006737A4"/>
    <w:rsid w:val="00675A7C"/>
    <w:rsid w:val="00676C9E"/>
    <w:rsid w:val="00677A29"/>
    <w:rsid w:val="00683F16"/>
    <w:rsid w:val="006861D5"/>
    <w:rsid w:val="0068636B"/>
    <w:rsid w:val="0068646E"/>
    <w:rsid w:val="00695020"/>
    <w:rsid w:val="006A1909"/>
    <w:rsid w:val="006A2EB5"/>
    <w:rsid w:val="006A6533"/>
    <w:rsid w:val="006C240A"/>
    <w:rsid w:val="006C2864"/>
    <w:rsid w:val="006D08ED"/>
    <w:rsid w:val="006D1078"/>
    <w:rsid w:val="006D41A7"/>
    <w:rsid w:val="006D5126"/>
    <w:rsid w:val="006D63A6"/>
    <w:rsid w:val="006D79F5"/>
    <w:rsid w:val="006F2917"/>
    <w:rsid w:val="006F53F4"/>
    <w:rsid w:val="0070008A"/>
    <w:rsid w:val="0070171D"/>
    <w:rsid w:val="00703BC6"/>
    <w:rsid w:val="00704C53"/>
    <w:rsid w:val="00715492"/>
    <w:rsid w:val="007256F4"/>
    <w:rsid w:val="00737682"/>
    <w:rsid w:val="00741006"/>
    <w:rsid w:val="007411DA"/>
    <w:rsid w:val="0074153E"/>
    <w:rsid w:val="007612B1"/>
    <w:rsid w:val="00764EA7"/>
    <w:rsid w:val="007678D1"/>
    <w:rsid w:val="00786B22"/>
    <w:rsid w:val="00786FAA"/>
    <w:rsid w:val="00791904"/>
    <w:rsid w:val="0079211E"/>
    <w:rsid w:val="00793834"/>
    <w:rsid w:val="00795C31"/>
    <w:rsid w:val="007A176A"/>
    <w:rsid w:val="007A381D"/>
    <w:rsid w:val="007A3DE3"/>
    <w:rsid w:val="007A454F"/>
    <w:rsid w:val="007D6F1A"/>
    <w:rsid w:val="007E277B"/>
    <w:rsid w:val="007F7259"/>
    <w:rsid w:val="00804AAD"/>
    <w:rsid w:val="00804D22"/>
    <w:rsid w:val="00814726"/>
    <w:rsid w:val="008168E5"/>
    <w:rsid w:val="00817D7F"/>
    <w:rsid w:val="00820E7A"/>
    <w:rsid w:val="00823971"/>
    <w:rsid w:val="008341C7"/>
    <w:rsid w:val="008405A0"/>
    <w:rsid w:val="008561AC"/>
    <w:rsid w:val="0085676A"/>
    <w:rsid w:val="00863DC8"/>
    <w:rsid w:val="00872D55"/>
    <w:rsid w:val="00887371"/>
    <w:rsid w:val="0089739F"/>
    <w:rsid w:val="008A1B2A"/>
    <w:rsid w:val="008D2342"/>
    <w:rsid w:val="008D6B11"/>
    <w:rsid w:val="008E05B1"/>
    <w:rsid w:val="008E6F69"/>
    <w:rsid w:val="008F4D73"/>
    <w:rsid w:val="00905F58"/>
    <w:rsid w:val="00924E1F"/>
    <w:rsid w:val="00925111"/>
    <w:rsid w:val="009255E1"/>
    <w:rsid w:val="009329E1"/>
    <w:rsid w:val="00933201"/>
    <w:rsid w:val="00951031"/>
    <w:rsid w:val="009535DD"/>
    <w:rsid w:val="0095451C"/>
    <w:rsid w:val="00954ED8"/>
    <w:rsid w:val="00956B6E"/>
    <w:rsid w:val="009571CB"/>
    <w:rsid w:val="00964610"/>
    <w:rsid w:val="009901CF"/>
    <w:rsid w:val="00990BAB"/>
    <w:rsid w:val="00991474"/>
    <w:rsid w:val="009A3A24"/>
    <w:rsid w:val="009A5785"/>
    <w:rsid w:val="009A6641"/>
    <w:rsid w:val="009A7837"/>
    <w:rsid w:val="009B1900"/>
    <w:rsid w:val="009B4974"/>
    <w:rsid w:val="009C00C3"/>
    <w:rsid w:val="009C4E9D"/>
    <w:rsid w:val="009D0B78"/>
    <w:rsid w:val="009D25E9"/>
    <w:rsid w:val="009D421B"/>
    <w:rsid w:val="009D6EDE"/>
    <w:rsid w:val="009E2302"/>
    <w:rsid w:val="009E2F54"/>
    <w:rsid w:val="009E6568"/>
    <w:rsid w:val="00A00944"/>
    <w:rsid w:val="00A03405"/>
    <w:rsid w:val="00A05D61"/>
    <w:rsid w:val="00A146D7"/>
    <w:rsid w:val="00A16D15"/>
    <w:rsid w:val="00A1705D"/>
    <w:rsid w:val="00A3189A"/>
    <w:rsid w:val="00A3662B"/>
    <w:rsid w:val="00A37E37"/>
    <w:rsid w:val="00A44E88"/>
    <w:rsid w:val="00A53267"/>
    <w:rsid w:val="00A657F5"/>
    <w:rsid w:val="00A66721"/>
    <w:rsid w:val="00A7162A"/>
    <w:rsid w:val="00A71F4D"/>
    <w:rsid w:val="00A74AD6"/>
    <w:rsid w:val="00A96C27"/>
    <w:rsid w:val="00AA3CC9"/>
    <w:rsid w:val="00AA7353"/>
    <w:rsid w:val="00AB01B7"/>
    <w:rsid w:val="00AB657C"/>
    <w:rsid w:val="00AC16FB"/>
    <w:rsid w:val="00AC289E"/>
    <w:rsid w:val="00AD5D3B"/>
    <w:rsid w:val="00AD5EB8"/>
    <w:rsid w:val="00AE0683"/>
    <w:rsid w:val="00AE346E"/>
    <w:rsid w:val="00AE4085"/>
    <w:rsid w:val="00AE4721"/>
    <w:rsid w:val="00AF4F54"/>
    <w:rsid w:val="00AF5AF8"/>
    <w:rsid w:val="00B078E7"/>
    <w:rsid w:val="00B10DC6"/>
    <w:rsid w:val="00B13B20"/>
    <w:rsid w:val="00B205A1"/>
    <w:rsid w:val="00B21AF1"/>
    <w:rsid w:val="00B3543E"/>
    <w:rsid w:val="00B4267A"/>
    <w:rsid w:val="00B45F10"/>
    <w:rsid w:val="00B50800"/>
    <w:rsid w:val="00B571F3"/>
    <w:rsid w:val="00B6313C"/>
    <w:rsid w:val="00B63680"/>
    <w:rsid w:val="00B6567B"/>
    <w:rsid w:val="00B720DE"/>
    <w:rsid w:val="00B8105E"/>
    <w:rsid w:val="00B816BD"/>
    <w:rsid w:val="00B822D1"/>
    <w:rsid w:val="00B91D6A"/>
    <w:rsid w:val="00B96BD5"/>
    <w:rsid w:val="00BA7669"/>
    <w:rsid w:val="00BA77B9"/>
    <w:rsid w:val="00BB0911"/>
    <w:rsid w:val="00BB2033"/>
    <w:rsid w:val="00BB3231"/>
    <w:rsid w:val="00BB3822"/>
    <w:rsid w:val="00BB5EC1"/>
    <w:rsid w:val="00BB68AD"/>
    <w:rsid w:val="00BD40AF"/>
    <w:rsid w:val="00BE189F"/>
    <w:rsid w:val="00BE2C20"/>
    <w:rsid w:val="00BF58CC"/>
    <w:rsid w:val="00BF6F2B"/>
    <w:rsid w:val="00C01702"/>
    <w:rsid w:val="00C02C14"/>
    <w:rsid w:val="00C05587"/>
    <w:rsid w:val="00C124E7"/>
    <w:rsid w:val="00C26662"/>
    <w:rsid w:val="00C32259"/>
    <w:rsid w:val="00C53450"/>
    <w:rsid w:val="00C53E62"/>
    <w:rsid w:val="00C73FA2"/>
    <w:rsid w:val="00C745F2"/>
    <w:rsid w:val="00C745F5"/>
    <w:rsid w:val="00C8329F"/>
    <w:rsid w:val="00C84B9E"/>
    <w:rsid w:val="00C969C8"/>
    <w:rsid w:val="00CB3D43"/>
    <w:rsid w:val="00CB7993"/>
    <w:rsid w:val="00CC2F8F"/>
    <w:rsid w:val="00CC627B"/>
    <w:rsid w:val="00CD3F55"/>
    <w:rsid w:val="00CE37C1"/>
    <w:rsid w:val="00D07057"/>
    <w:rsid w:val="00D10292"/>
    <w:rsid w:val="00D2183A"/>
    <w:rsid w:val="00D25649"/>
    <w:rsid w:val="00D34D3F"/>
    <w:rsid w:val="00D37BCD"/>
    <w:rsid w:val="00D531D2"/>
    <w:rsid w:val="00D61AD3"/>
    <w:rsid w:val="00D6296C"/>
    <w:rsid w:val="00D72DC0"/>
    <w:rsid w:val="00D76AFF"/>
    <w:rsid w:val="00D82ABE"/>
    <w:rsid w:val="00D87FDA"/>
    <w:rsid w:val="00D93651"/>
    <w:rsid w:val="00DB1A27"/>
    <w:rsid w:val="00DB1CA6"/>
    <w:rsid w:val="00DB335D"/>
    <w:rsid w:val="00DB771C"/>
    <w:rsid w:val="00DC41C2"/>
    <w:rsid w:val="00DC66EF"/>
    <w:rsid w:val="00DD2021"/>
    <w:rsid w:val="00DD290B"/>
    <w:rsid w:val="00DD2927"/>
    <w:rsid w:val="00DD2DC3"/>
    <w:rsid w:val="00DD3F56"/>
    <w:rsid w:val="00DD518C"/>
    <w:rsid w:val="00DE7E37"/>
    <w:rsid w:val="00DF4111"/>
    <w:rsid w:val="00DF5926"/>
    <w:rsid w:val="00E02A23"/>
    <w:rsid w:val="00E02B53"/>
    <w:rsid w:val="00E04056"/>
    <w:rsid w:val="00E11D06"/>
    <w:rsid w:val="00E161E8"/>
    <w:rsid w:val="00E23539"/>
    <w:rsid w:val="00E25C31"/>
    <w:rsid w:val="00E32930"/>
    <w:rsid w:val="00E36798"/>
    <w:rsid w:val="00E37D29"/>
    <w:rsid w:val="00E437E0"/>
    <w:rsid w:val="00E62B67"/>
    <w:rsid w:val="00E65A4B"/>
    <w:rsid w:val="00E77287"/>
    <w:rsid w:val="00E77BD7"/>
    <w:rsid w:val="00E804E7"/>
    <w:rsid w:val="00E93C8B"/>
    <w:rsid w:val="00E956E6"/>
    <w:rsid w:val="00EA1A4D"/>
    <w:rsid w:val="00EA3705"/>
    <w:rsid w:val="00EA569E"/>
    <w:rsid w:val="00EB1088"/>
    <w:rsid w:val="00EB10E8"/>
    <w:rsid w:val="00EB2C4D"/>
    <w:rsid w:val="00EC0492"/>
    <w:rsid w:val="00EC0704"/>
    <w:rsid w:val="00EC1671"/>
    <w:rsid w:val="00EC1CF7"/>
    <w:rsid w:val="00EE154D"/>
    <w:rsid w:val="00F05703"/>
    <w:rsid w:val="00F23DE0"/>
    <w:rsid w:val="00F45E3C"/>
    <w:rsid w:val="00F511F5"/>
    <w:rsid w:val="00F56D45"/>
    <w:rsid w:val="00F6457D"/>
    <w:rsid w:val="00F6731A"/>
    <w:rsid w:val="00F72765"/>
    <w:rsid w:val="00F93BCA"/>
    <w:rsid w:val="00FA3609"/>
    <w:rsid w:val="00FB3B6C"/>
    <w:rsid w:val="00FC3CF6"/>
    <w:rsid w:val="00FC43AA"/>
    <w:rsid w:val="00FC7EE4"/>
    <w:rsid w:val="00FD4D6B"/>
    <w:rsid w:val="00FD5A38"/>
    <w:rsid w:val="00FE55B3"/>
    <w:rsid w:val="00FF172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C25F76"/>
  <w15:chartTrackingRefBased/>
  <w15:docId w15:val="{227BCFFB-DFE7-429E-8467-3E6148664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2342"/>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8D2342"/>
    <w:pPr>
      <w:keepNext/>
      <w:spacing w:before="240" w:after="60"/>
      <w:outlineLvl w:val="0"/>
    </w:pPr>
    <w:rPr>
      <w:rFonts w:ascii="Arial" w:hAnsi="Arial"/>
      <w:b/>
      <w:bCs/>
      <w:kern w:val="32"/>
      <w:sz w:val="32"/>
      <w:szCs w:val="32"/>
    </w:rPr>
  </w:style>
  <w:style w:type="paragraph" w:styleId="Ttulo7">
    <w:name w:val="heading 7"/>
    <w:basedOn w:val="Normal"/>
    <w:next w:val="Normal"/>
    <w:link w:val="Ttulo7Car"/>
    <w:uiPriority w:val="9"/>
    <w:semiHidden/>
    <w:unhideWhenUsed/>
    <w:qFormat/>
    <w:rsid w:val="002B6001"/>
    <w:pPr>
      <w:keepNext/>
      <w:keepLines/>
      <w:spacing w:before="40"/>
      <w:outlineLvl w:val="6"/>
    </w:pPr>
    <w:rPr>
      <w:rFonts w:asciiTheme="majorHAnsi" w:eastAsiaTheme="majorEastAsia" w:hAnsiTheme="majorHAnsi" w:cstheme="majorBidi"/>
      <w:i/>
      <w:iCs/>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D2342"/>
    <w:rPr>
      <w:rFonts w:ascii="Arial" w:eastAsia="Times New Roman" w:hAnsi="Arial" w:cs="Times New Roman"/>
      <w:b/>
      <w:bCs/>
      <w:kern w:val="32"/>
      <w:sz w:val="32"/>
      <w:szCs w:val="32"/>
      <w:lang w:val="es-ES" w:eastAsia="es-ES"/>
    </w:rPr>
  </w:style>
  <w:style w:type="character" w:styleId="Hipervnculo">
    <w:name w:val="Hyperlink"/>
    <w:uiPriority w:val="99"/>
    <w:rsid w:val="008D2342"/>
    <w:rPr>
      <w:color w:val="0000FF"/>
      <w:u w:val="single"/>
    </w:rPr>
  </w:style>
  <w:style w:type="paragraph" w:styleId="Piedepgina">
    <w:name w:val="footer"/>
    <w:basedOn w:val="Normal"/>
    <w:link w:val="PiedepginaCar"/>
    <w:rsid w:val="008D2342"/>
    <w:pPr>
      <w:tabs>
        <w:tab w:val="center" w:pos="4252"/>
        <w:tab w:val="right" w:pos="8504"/>
      </w:tabs>
    </w:pPr>
  </w:style>
  <w:style w:type="character" w:customStyle="1" w:styleId="PiedepginaCar">
    <w:name w:val="Pie de página Car"/>
    <w:basedOn w:val="Fuentedeprrafopredeter"/>
    <w:link w:val="Piedepgina"/>
    <w:rsid w:val="008D2342"/>
    <w:rPr>
      <w:rFonts w:ascii="Times New Roman" w:eastAsia="Times New Roman" w:hAnsi="Times New Roman" w:cs="Times New Roman"/>
      <w:sz w:val="24"/>
      <w:szCs w:val="24"/>
      <w:lang w:val="es-ES" w:eastAsia="es-ES"/>
    </w:rPr>
  </w:style>
  <w:style w:type="paragraph" w:styleId="Sinespaciado">
    <w:name w:val="No Spacing"/>
    <w:link w:val="SinespaciadoCar"/>
    <w:uiPriority w:val="1"/>
    <w:qFormat/>
    <w:rsid w:val="008D2342"/>
    <w:pPr>
      <w:spacing w:after="0" w:line="240" w:lineRule="auto"/>
    </w:pPr>
    <w:rPr>
      <w:rFonts w:ascii="Calibri" w:eastAsia="Calibri" w:hAnsi="Calibri" w:cs="Times New Roman"/>
    </w:rPr>
  </w:style>
  <w:style w:type="table" w:styleId="Tablaconcuadrcula">
    <w:name w:val="Table Grid"/>
    <w:basedOn w:val="Tablanormal"/>
    <w:uiPriority w:val="59"/>
    <w:rsid w:val="008D23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476624"/>
    <w:pPr>
      <w:ind w:left="720"/>
      <w:contextualSpacing/>
    </w:pPr>
  </w:style>
  <w:style w:type="paragraph" w:styleId="Encabezado">
    <w:name w:val="header"/>
    <w:basedOn w:val="Normal"/>
    <w:link w:val="EncabezadoCar"/>
    <w:uiPriority w:val="99"/>
    <w:unhideWhenUsed/>
    <w:rsid w:val="008E05B1"/>
    <w:pPr>
      <w:tabs>
        <w:tab w:val="center" w:pos="4419"/>
        <w:tab w:val="right" w:pos="8838"/>
      </w:tabs>
    </w:pPr>
  </w:style>
  <w:style w:type="character" w:customStyle="1" w:styleId="EncabezadoCar">
    <w:name w:val="Encabezado Car"/>
    <w:basedOn w:val="Fuentedeprrafopredeter"/>
    <w:link w:val="Encabezado"/>
    <w:uiPriority w:val="99"/>
    <w:rsid w:val="008E05B1"/>
    <w:rPr>
      <w:rFonts w:ascii="Times New Roman" w:eastAsia="Times New Roman" w:hAnsi="Times New Roman" w:cs="Times New Roman"/>
      <w:sz w:val="24"/>
      <w:szCs w:val="24"/>
      <w:lang w:val="es-ES" w:eastAsia="es-ES"/>
    </w:rPr>
  </w:style>
  <w:style w:type="character" w:customStyle="1" w:styleId="Ttulo7Car">
    <w:name w:val="Título 7 Car"/>
    <w:basedOn w:val="Fuentedeprrafopredeter"/>
    <w:link w:val="Ttulo7"/>
    <w:uiPriority w:val="9"/>
    <w:semiHidden/>
    <w:rsid w:val="002B6001"/>
    <w:rPr>
      <w:rFonts w:asciiTheme="majorHAnsi" w:eastAsiaTheme="majorEastAsia" w:hAnsiTheme="majorHAnsi" w:cstheme="majorBidi"/>
      <w:i/>
      <w:iCs/>
      <w:color w:val="1F3763" w:themeColor="accent1" w:themeShade="7F"/>
      <w:sz w:val="24"/>
      <w:szCs w:val="24"/>
      <w:lang w:val="es-ES" w:eastAsia="es-ES"/>
    </w:rPr>
  </w:style>
  <w:style w:type="paragraph" w:styleId="NormalWeb">
    <w:name w:val="Normal (Web)"/>
    <w:basedOn w:val="Normal"/>
    <w:uiPriority w:val="99"/>
    <w:unhideWhenUsed/>
    <w:rsid w:val="00BD40AF"/>
    <w:pPr>
      <w:spacing w:before="100" w:beforeAutospacing="1" w:after="100" w:afterAutospacing="1"/>
    </w:pPr>
    <w:rPr>
      <w:lang w:val="es-CO" w:eastAsia="es-CO"/>
    </w:rPr>
  </w:style>
  <w:style w:type="character" w:styleId="Textoennegrita">
    <w:name w:val="Strong"/>
    <w:basedOn w:val="Fuentedeprrafopredeter"/>
    <w:uiPriority w:val="22"/>
    <w:qFormat/>
    <w:rsid w:val="00BD40AF"/>
    <w:rPr>
      <w:b/>
      <w:bCs/>
    </w:rPr>
  </w:style>
  <w:style w:type="character" w:styleId="nfasis">
    <w:name w:val="Emphasis"/>
    <w:basedOn w:val="Fuentedeprrafopredeter"/>
    <w:uiPriority w:val="20"/>
    <w:qFormat/>
    <w:rsid w:val="00BD40AF"/>
    <w:rPr>
      <w:i/>
      <w:iCs/>
    </w:rPr>
  </w:style>
  <w:style w:type="paragraph" w:customStyle="1" w:styleId="Default">
    <w:name w:val="Default"/>
    <w:rsid w:val="00F05703"/>
    <w:pPr>
      <w:autoSpaceDE w:val="0"/>
      <w:autoSpaceDN w:val="0"/>
      <w:adjustRightInd w:val="0"/>
      <w:spacing w:after="0" w:line="240" w:lineRule="auto"/>
    </w:pPr>
    <w:rPr>
      <w:rFonts w:ascii="Times New Roman" w:hAnsi="Times New Roman" w:cs="Times New Roman"/>
      <w:color w:val="000000"/>
      <w:sz w:val="24"/>
      <w:szCs w:val="24"/>
      <w:lang w:val="en-US"/>
    </w:rPr>
  </w:style>
  <w:style w:type="character" w:customStyle="1" w:styleId="SinespaciadoCar">
    <w:name w:val="Sin espaciado Car"/>
    <w:link w:val="Sinespaciado"/>
    <w:uiPriority w:val="1"/>
    <w:locked/>
    <w:rsid w:val="00DB1A27"/>
    <w:rPr>
      <w:rFonts w:ascii="Calibri" w:eastAsia="Calibri" w:hAnsi="Calibri" w:cs="Times New Roman"/>
    </w:rPr>
  </w:style>
  <w:style w:type="paragraph" w:styleId="Textonotapie">
    <w:name w:val="footnote text"/>
    <w:basedOn w:val="Normal"/>
    <w:link w:val="TextonotapieCar"/>
    <w:uiPriority w:val="99"/>
    <w:semiHidden/>
    <w:unhideWhenUsed/>
    <w:rsid w:val="00B96BD5"/>
    <w:rPr>
      <w:sz w:val="20"/>
      <w:szCs w:val="20"/>
    </w:rPr>
  </w:style>
  <w:style w:type="character" w:customStyle="1" w:styleId="TextonotapieCar">
    <w:name w:val="Texto nota pie Car"/>
    <w:basedOn w:val="Fuentedeprrafopredeter"/>
    <w:link w:val="Textonotapie"/>
    <w:uiPriority w:val="99"/>
    <w:semiHidden/>
    <w:rsid w:val="00B96BD5"/>
    <w:rPr>
      <w:rFonts w:ascii="Times New Roman" w:eastAsia="Times New Roman" w:hAnsi="Times New Roman" w:cs="Times New Roman"/>
      <w:sz w:val="20"/>
      <w:szCs w:val="20"/>
      <w:lang w:val="es-ES" w:eastAsia="es-ES"/>
    </w:rPr>
  </w:style>
  <w:style w:type="character" w:styleId="Refdenotaalpie">
    <w:name w:val="footnote reference"/>
    <w:aliases w:val="Ref. de nota al pie 2,Appel note de bas de page,Footnotes refss,Footnote number,referencia nota al pie,BVI fnr,f,4_G,16 Point,Superscript 6 Point,Texto nota al pie,Pie de Página,FC,Texto de nota al pi,Texto de nota al p,Pie de P_gin"/>
    <w:basedOn w:val="Fuentedeprrafopredeter"/>
    <w:uiPriority w:val="99"/>
    <w:unhideWhenUsed/>
    <w:qFormat/>
    <w:rsid w:val="00B96BD5"/>
    <w:rPr>
      <w:vertAlign w:val="superscript"/>
    </w:rPr>
  </w:style>
  <w:style w:type="character" w:styleId="Refdecomentario">
    <w:name w:val="annotation reference"/>
    <w:basedOn w:val="Fuentedeprrafopredeter"/>
    <w:uiPriority w:val="99"/>
    <w:semiHidden/>
    <w:unhideWhenUsed/>
    <w:rsid w:val="00DE7E37"/>
    <w:rPr>
      <w:sz w:val="16"/>
      <w:szCs w:val="16"/>
    </w:rPr>
  </w:style>
  <w:style w:type="paragraph" w:styleId="Textocomentario">
    <w:name w:val="annotation text"/>
    <w:basedOn w:val="Normal"/>
    <w:link w:val="TextocomentarioCar"/>
    <w:uiPriority w:val="99"/>
    <w:semiHidden/>
    <w:unhideWhenUsed/>
    <w:rsid w:val="00DE7E37"/>
    <w:rPr>
      <w:sz w:val="20"/>
      <w:szCs w:val="20"/>
    </w:rPr>
  </w:style>
  <w:style w:type="character" w:customStyle="1" w:styleId="TextocomentarioCar">
    <w:name w:val="Texto comentario Car"/>
    <w:basedOn w:val="Fuentedeprrafopredeter"/>
    <w:link w:val="Textocomentario"/>
    <w:uiPriority w:val="99"/>
    <w:semiHidden/>
    <w:rsid w:val="00DE7E37"/>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DE7E37"/>
    <w:rPr>
      <w:b/>
      <w:bCs/>
    </w:rPr>
  </w:style>
  <w:style w:type="character" w:customStyle="1" w:styleId="AsuntodelcomentarioCar">
    <w:name w:val="Asunto del comentario Car"/>
    <w:basedOn w:val="TextocomentarioCar"/>
    <w:link w:val="Asuntodelcomentario"/>
    <w:uiPriority w:val="99"/>
    <w:semiHidden/>
    <w:rsid w:val="00DE7E37"/>
    <w:rPr>
      <w:rFonts w:ascii="Times New Roman" w:eastAsia="Times New Roman" w:hAnsi="Times New Roman" w:cs="Times New Roman"/>
      <w:b/>
      <w:bCs/>
      <w:sz w:val="20"/>
      <w:szCs w:val="20"/>
      <w:lang w:val="es-ES" w:eastAsia="es-ES"/>
    </w:rPr>
  </w:style>
  <w:style w:type="paragraph" w:styleId="Textodeglobo">
    <w:name w:val="Balloon Text"/>
    <w:basedOn w:val="Normal"/>
    <w:link w:val="TextodegloboCar"/>
    <w:uiPriority w:val="99"/>
    <w:semiHidden/>
    <w:unhideWhenUsed/>
    <w:rsid w:val="00DE7E37"/>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E7E37"/>
    <w:rPr>
      <w:rFonts w:ascii="Segoe UI" w:eastAsia="Times New Roman" w:hAnsi="Segoe UI" w:cs="Segoe UI"/>
      <w:sz w:val="18"/>
      <w:szCs w:val="18"/>
      <w:lang w:val="es-ES" w:eastAsia="es-ES"/>
    </w:rPr>
  </w:style>
  <w:style w:type="character" w:customStyle="1" w:styleId="PrrafodelistaCar">
    <w:name w:val="Párrafo de lista Car"/>
    <w:link w:val="Prrafodelista"/>
    <w:uiPriority w:val="72"/>
    <w:rsid w:val="009E2F54"/>
    <w:rPr>
      <w:rFonts w:ascii="Times New Roman" w:eastAsia="Times New Roman" w:hAnsi="Times New Roman" w:cs="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8865796">
      <w:bodyDiv w:val="1"/>
      <w:marLeft w:val="0"/>
      <w:marRight w:val="0"/>
      <w:marTop w:val="0"/>
      <w:marBottom w:val="0"/>
      <w:divBdr>
        <w:top w:val="none" w:sz="0" w:space="0" w:color="auto"/>
        <w:left w:val="none" w:sz="0" w:space="0" w:color="auto"/>
        <w:bottom w:val="none" w:sz="0" w:space="0" w:color="auto"/>
        <w:right w:val="none" w:sz="0" w:space="0" w:color="auto"/>
      </w:divBdr>
    </w:div>
    <w:div w:id="812409923">
      <w:bodyDiv w:val="1"/>
      <w:marLeft w:val="0"/>
      <w:marRight w:val="0"/>
      <w:marTop w:val="0"/>
      <w:marBottom w:val="0"/>
      <w:divBdr>
        <w:top w:val="none" w:sz="0" w:space="0" w:color="auto"/>
        <w:left w:val="none" w:sz="0" w:space="0" w:color="auto"/>
        <w:bottom w:val="none" w:sz="0" w:space="0" w:color="auto"/>
        <w:right w:val="none" w:sz="0" w:space="0" w:color="auto"/>
      </w:divBdr>
    </w:div>
    <w:div w:id="1021007972">
      <w:bodyDiv w:val="1"/>
      <w:marLeft w:val="0"/>
      <w:marRight w:val="0"/>
      <w:marTop w:val="0"/>
      <w:marBottom w:val="0"/>
      <w:divBdr>
        <w:top w:val="none" w:sz="0" w:space="0" w:color="auto"/>
        <w:left w:val="none" w:sz="0" w:space="0" w:color="auto"/>
        <w:bottom w:val="none" w:sz="0" w:space="0" w:color="auto"/>
        <w:right w:val="none" w:sz="0" w:space="0" w:color="auto"/>
      </w:divBdr>
    </w:div>
    <w:div w:id="1067996264">
      <w:bodyDiv w:val="1"/>
      <w:marLeft w:val="0"/>
      <w:marRight w:val="0"/>
      <w:marTop w:val="0"/>
      <w:marBottom w:val="0"/>
      <w:divBdr>
        <w:top w:val="none" w:sz="0" w:space="0" w:color="auto"/>
        <w:left w:val="none" w:sz="0" w:space="0" w:color="auto"/>
        <w:bottom w:val="none" w:sz="0" w:space="0" w:color="auto"/>
        <w:right w:val="none" w:sz="0" w:space="0" w:color="auto"/>
      </w:divBdr>
    </w:div>
    <w:div w:id="1303272907">
      <w:bodyDiv w:val="1"/>
      <w:marLeft w:val="0"/>
      <w:marRight w:val="0"/>
      <w:marTop w:val="0"/>
      <w:marBottom w:val="0"/>
      <w:divBdr>
        <w:top w:val="none" w:sz="0" w:space="0" w:color="auto"/>
        <w:left w:val="none" w:sz="0" w:space="0" w:color="auto"/>
        <w:bottom w:val="none" w:sz="0" w:space="0" w:color="auto"/>
        <w:right w:val="none" w:sz="0" w:space="0" w:color="auto"/>
      </w:divBdr>
      <w:divsChild>
        <w:div w:id="1796098698">
          <w:marLeft w:val="0"/>
          <w:marRight w:val="0"/>
          <w:marTop w:val="0"/>
          <w:marBottom w:val="0"/>
          <w:divBdr>
            <w:top w:val="none" w:sz="0" w:space="0" w:color="auto"/>
            <w:left w:val="none" w:sz="0" w:space="0" w:color="auto"/>
            <w:bottom w:val="none" w:sz="0" w:space="0" w:color="auto"/>
            <w:right w:val="none" w:sz="0" w:space="0" w:color="auto"/>
          </w:divBdr>
          <w:divsChild>
            <w:div w:id="1825313089">
              <w:marLeft w:val="0"/>
              <w:marRight w:val="0"/>
              <w:marTop w:val="0"/>
              <w:marBottom w:val="0"/>
              <w:divBdr>
                <w:top w:val="none" w:sz="0" w:space="0" w:color="auto"/>
                <w:left w:val="none" w:sz="0" w:space="0" w:color="auto"/>
                <w:bottom w:val="none" w:sz="0" w:space="0" w:color="auto"/>
                <w:right w:val="none" w:sz="0" w:space="0" w:color="auto"/>
              </w:divBdr>
            </w:div>
          </w:divsChild>
        </w:div>
        <w:div w:id="2028214640">
          <w:marLeft w:val="0"/>
          <w:marRight w:val="0"/>
          <w:marTop w:val="0"/>
          <w:marBottom w:val="0"/>
          <w:divBdr>
            <w:top w:val="none" w:sz="0" w:space="0" w:color="auto"/>
            <w:left w:val="none" w:sz="0" w:space="0" w:color="auto"/>
            <w:bottom w:val="none" w:sz="0" w:space="0" w:color="auto"/>
            <w:right w:val="none" w:sz="0" w:space="0" w:color="auto"/>
          </w:divBdr>
          <w:divsChild>
            <w:div w:id="949968258">
              <w:marLeft w:val="0"/>
              <w:marRight w:val="0"/>
              <w:marTop w:val="0"/>
              <w:marBottom w:val="0"/>
              <w:divBdr>
                <w:top w:val="none" w:sz="0" w:space="0" w:color="auto"/>
                <w:left w:val="none" w:sz="0" w:space="0" w:color="auto"/>
                <w:bottom w:val="none" w:sz="0" w:space="0" w:color="auto"/>
                <w:right w:val="none" w:sz="0" w:space="0" w:color="auto"/>
              </w:divBdr>
            </w:div>
          </w:divsChild>
        </w:div>
        <w:div w:id="1580335543">
          <w:marLeft w:val="0"/>
          <w:marRight w:val="0"/>
          <w:marTop w:val="0"/>
          <w:marBottom w:val="0"/>
          <w:divBdr>
            <w:top w:val="none" w:sz="0" w:space="0" w:color="auto"/>
            <w:left w:val="none" w:sz="0" w:space="0" w:color="auto"/>
            <w:bottom w:val="none" w:sz="0" w:space="0" w:color="auto"/>
            <w:right w:val="none" w:sz="0" w:space="0" w:color="auto"/>
          </w:divBdr>
          <w:divsChild>
            <w:div w:id="1917474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353925">
      <w:bodyDiv w:val="1"/>
      <w:marLeft w:val="0"/>
      <w:marRight w:val="0"/>
      <w:marTop w:val="0"/>
      <w:marBottom w:val="0"/>
      <w:divBdr>
        <w:top w:val="none" w:sz="0" w:space="0" w:color="auto"/>
        <w:left w:val="none" w:sz="0" w:space="0" w:color="auto"/>
        <w:bottom w:val="none" w:sz="0" w:space="0" w:color="auto"/>
        <w:right w:val="none" w:sz="0" w:space="0" w:color="auto"/>
      </w:divBdr>
    </w:div>
    <w:div w:id="1541481046">
      <w:bodyDiv w:val="1"/>
      <w:marLeft w:val="0"/>
      <w:marRight w:val="0"/>
      <w:marTop w:val="0"/>
      <w:marBottom w:val="0"/>
      <w:divBdr>
        <w:top w:val="none" w:sz="0" w:space="0" w:color="auto"/>
        <w:left w:val="none" w:sz="0" w:space="0" w:color="auto"/>
        <w:bottom w:val="none" w:sz="0" w:space="0" w:color="auto"/>
        <w:right w:val="none" w:sz="0" w:space="0" w:color="auto"/>
      </w:divBdr>
    </w:div>
    <w:div w:id="1734545786">
      <w:bodyDiv w:val="1"/>
      <w:marLeft w:val="0"/>
      <w:marRight w:val="0"/>
      <w:marTop w:val="0"/>
      <w:marBottom w:val="0"/>
      <w:divBdr>
        <w:top w:val="none" w:sz="0" w:space="0" w:color="auto"/>
        <w:left w:val="none" w:sz="0" w:space="0" w:color="auto"/>
        <w:bottom w:val="none" w:sz="0" w:space="0" w:color="auto"/>
        <w:right w:val="none" w:sz="0" w:space="0" w:color="auto"/>
      </w:divBdr>
    </w:div>
    <w:div w:id="1942763941">
      <w:bodyDiv w:val="1"/>
      <w:marLeft w:val="0"/>
      <w:marRight w:val="0"/>
      <w:marTop w:val="0"/>
      <w:marBottom w:val="0"/>
      <w:divBdr>
        <w:top w:val="none" w:sz="0" w:space="0" w:color="auto"/>
        <w:left w:val="none" w:sz="0" w:space="0" w:color="auto"/>
        <w:bottom w:val="none" w:sz="0" w:space="0" w:color="auto"/>
        <w:right w:val="none" w:sz="0" w:space="0" w:color="auto"/>
      </w:divBdr>
      <w:divsChild>
        <w:div w:id="1686202932">
          <w:marLeft w:val="0"/>
          <w:marRight w:val="0"/>
          <w:marTop w:val="0"/>
          <w:marBottom w:val="0"/>
          <w:divBdr>
            <w:top w:val="none" w:sz="0" w:space="0" w:color="auto"/>
            <w:left w:val="none" w:sz="0" w:space="0" w:color="auto"/>
            <w:bottom w:val="none" w:sz="0" w:space="0" w:color="auto"/>
            <w:right w:val="none" w:sz="0" w:space="0" w:color="auto"/>
          </w:divBdr>
          <w:divsChild>
            <w:div w:id="975332869">
              <w:marLeft w:val="0"/>
              <w:marRight w:val="0"/>
              <w:marTop w:val="0"/>
              <w:marBottom w:val="0"/>
              <w:divBdr>
                <w:top w:val="none" w:sz="0" w:space="0" w:color="auto"/>
                <w:left w:val="none" w:sz="0" w:space="0" w:color="auto"/>
                <w:bottom w:val="none" w:sz="0" w:space="0" w:color="auto"/>
                <w:right w:val="none" w:sz="0" w:space="0" w:color="auto"/>
              </w:divBdr>
            </w:div>
          </w:divsChild>
        </w:div>
        <w:div w:id="124859755">
          <w:marLeft w:val="0"/>
          <w:marRight w:val="0"/>
          <w:marTop w:val="0"/>
          <w:marBottom w:val="0"/>
          <w:divBdr>
            <w:top w:val="none" w:sz="0" w:space="0" w:color="auto"/>
            <w:left w:val="none" w:sz="0" w:space="0" w:color="auto"/>
            <w:bottom w:val="none" w:sz="0" w:space="0" w:color="auto"/>
            <w:right w:val="none" w:sz="0" w:space="0" w:color="auto"/>
          </w:divBdr>
          <w:divsChild>
            <w:div w:id="48111922">
              <w:marLeft w:val="0"/>
              <w:marRight w:val="0"/>
              <w:marTop w:val="0"/>
              <w:marBottom w:val="0"/>
              <w:divBdr>
                <w:top w:val="none" w:sz="0" w:space="0" w:color="auto"/>
                <w:left w:val="none" w:sz="0" w:space="0" w:color="auto"/>
                <w:bottom w:val="none" w:sz="0" w:space="0" w:color="auto"/>
                <w:right w:val="none" w:sz="0" w:space="0" w:color="auto"/>
              </w:divBdr>
            </w:div>
          </w:divsChild>
        </w:div>
        <w:div w:id="18357883">
          <w:marLeft w:val="0"/>
          <w:marRight w:val="0"/>
          <w:marTop w:val="0"/>
          <w:marBottom w:val="0"/>
          <w:divBdr>
            <w:top w:val="none" w:sz="0" w:space="0" w:color="auto"/>
            <w:left w:val="none" w:sz="0" w:space="0" w:color="auto"/>
            <w:bottom w:val="none" w:sz="0" w:space="0" w:color="auto"/>
            <w:right w:val="none" w:sz="0" w:space="0" w:color="auto"/>
          </w:divBdr>
          <w:divsChild>
            <w:div w:id="191072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07/relationships/hdphoto" Target="media/hdphoto1.wdp"/><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http://www.supernotariado.gov.co" TargetMode="External"/><Relationship Id="rId1" Type="http://schemas.openxmlformats.org/officeDocument/2006/relationships/hyperlink" Target="http://www.supernotariado.gov.c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BC462152113F4E4D8C72FBEE7D12A96A" ma:contentTypeVersion="7" ma:contentTypeDescription="Crear nuevo documento." ma:contentTypeScope="" ma:versionID="f8979bfd49cc5b9fd0225236a99b0f13">
  <xsd:schema xmlns:xsd="http://www.w3.org/2001/XMLSchema" xmlns:xs="http://www.w3.org/2001/XMLSchema" xmlns:p="http://schemas.microsoft.com/office/2006/metadata/properties" xmlns:ns3="cf0f09e4-1e11-4ee6-aeba-9c9482bc2566" targetNamespace="http://schemas.microsoft.com/office/2006/metadata/properties" ma:root="true" ma:fieldsID="5e1407003479634d51f7601ad178435e" ns3:_="">
    <xsd:import namespace="cf0f09e4-1e11-4ee6-aeba-9c9482bc256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0f09e4-1e11-4ee6-aeba-9c9482bc256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D69DCD-FC4A-46BA-A5AE-37F87472269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11F56C0-1634-4A1A-8EC3-37849130B0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0f09e4-1e11-4ee6-aeba-9c9482bc25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CED0EC4-01CA-40DF-AC95-0144CD33BB9B}">
  <ds:schemaRefs>
    <ds:schemaRef ds:uri="http://schemas.microsoft.com/sharepoint/v3/contenttype/forms"/>
  </ds:schemaRefs>
</ds:datastoreItem>
</file>

<file path=customXml/itemProps4.xml><?xml version="1.0" encoding="utf-8"?>
<ds:datastoreItem xmlns:ds="http://schemas.openxmlformats.org/officeDocument/2006/customXml" ds:itemID="{2C1FA51F-DA60-434F-B8EC-5FFB05E43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3733</TotalTime>
  <Pages>35</Pages>
  <Words>10998</Words>
  <Characters>60489</Characters>
  <Application>Microsoft Office Word</Application>
  <DocSecurity>0</DocSecurity>
  <Lines>504</Lines>
  <Paragraphs>142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Catalina Becerra Carreño</dc:creator>
  <cp:keywords/>
  <dc:description/>
  <cp:lastModifiedBy>Karen Sofia Tijaro Sanchez</cp:lastModifiedBy>
  <cp:revision>16</cp:revision>
  <dcterms:created xsi:type="dcterms:W3CDTF">2025-09-16T22:51:00Z</dcterms:created>
  <dcterms:modified xsi:type="dcterms:W3CDTF">2026-03-13T20:27:00Z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0x010100BC462152113F4E4D8C72FBEE7D12A96A</vt:lpwstr>
  </property>
</Properties>
</file>